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FCC9D" w14:textId="77777777" w:rsidR="00565FBC" w:rsidRDefault="00000000">
      <w:pPr>
        <w:pStyle w:val="Heading1"/>
        <w:keepNext w:val="0"/>
        <w:keepLines w:val="0"/>
        <w:shd w:val="clear" w:color="auto" w:fill="FFFFFF"/>
        <w:spacing w:before="0" w:after="160" w:line="312" w:lineRule="auto"/>
        <w:jc w:val="center"/>
        <w:rPr>
          <w:b/>
          <w:bCs/>
          <w:i/>
          <w:iCs/>
          <w:color w:val="1A1A1A"/>
          <w:sz w:val="38"/>
          <w:szCs w:val="38"/>
        </w:rPr>
      </w:pPr>
      <w:bookmarkStart w:id="0" w:name="_5codusw72sm7" w:colFirst="0" w:colLast="0"/>
      <w:bookmarkEnd w:id="0"/>
      <w:r>
        <w:rPr>
          <w:b/>
          <w:bCs/>
          <w:i/>
          <w:iCs/>
          <w:color w:val="1A1A1A"/>
          <w:sz w:val="38"/>
          <w:szCs w:val="38"/>
        </w:rPr>
        <w:t>Padilla v. Kentucky (2010)</w:t>
      </w:r>
    </w:p>
    <w:p w14:paraId="35996054" w14:textId="77777777" w:rsidR="00565FBC" w:rsidRDefault="00565FBC">
      <w:pPr>
        <w:rPr>
          <w:b/>
          <w:bCs/>
          <w:sz w:val="20"/>
          <w:szCs w:val="20"/>
        </w:rPr>
      </w:pPr>
    </w:p>
    <w:p w14:paraId="58114052" w14:textId="77777777" w:rsidR="00565FBC" w:rsidRDefault="00000000">
      <w:pPr>
        <w:rPr>
          <w:b/>
          <w:bCs/>
          <w:sz w:val="20"/>
          <w:szCs w:val="20"/>
        </w:rPr>
      </w:pPr>
      <w:r>
        <w:rPr>
          <w:b/>
          <w:bCs/>
          <w:sz w:val="20"/>
          <w:szCs w:val="20"/>
        </w:rPr>
        <w:t>Docket No. 08-651</w:t>
      </w:r>
    </w:p>
    <w:p w14:paraId="28DD6068" w14:textId="77777777" w:rsidR="00565FBC" w:rsidRDefault="00000000">
      <w:pPr>
        <w:rPr>
          <w:b/>
          <w:bCs/>
          <w:sz w:val="20"/>
          <w:szCs w:val="20"/>
        </w:rPr>
      </w:pPr>
      <w:r>
        <w:rPr>
          <w:b/>
          <w:bCs/>
          <w:sz w:val="20"/>
          <w:szCs w:val="20"/>
        </w:rPr>
        <w:t>Granted: February 23, 2009</w:t>
      </w:r>
      <w:r>
        <w:rPr>
          <w:noProof/>
        </w:rPr>
        <w:drawing>
          <wp:anchor distT="114300" distB="114300" distL="114300" distR="114300" simplePos="0" relativeHeight="251658240" behindDoc="0" locked="0" layoutInCell="1" hidden="0" allowOverlap="1" wp14:anchorId="6644354D" wp14:editId="61BDA9D5">
            <wp:simplePos x="0" y="0"/>
            <wp:positionH relativeFrom="column">
              <wp:posOffset>3810000</wp:posOffset>
            </wp:positionH>
            <wp:positionV relativeFrom="paragraph">
              <wp:posOffset>120062</wp:posOffset>
            </wp:positionV>
            <wp:extent cx="1963048" cy="26146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63048" cy="2614613"/>
                    </a:xfrm>
                    <a:prstGeom prst="rect">
                      <a:avLst/>
                    </a:prstGeom>
                    <a:ln/>
                  </pic:spPr>
                </pic:pic>
              </a:graphicData>
            </a:graphic>
          </wp:anchor>
        </w:drawing>
      </w:r>
    </w:p>
    <w:p w14:paraId="4FC84EB8" w14:textId="77777777" w:rsidR="00565FBC" w:rsidRDefault="00000000">
      <w:pPr>
        <w:rPr>
          <w:b/>
          <w:bCs/>
          <w:sz w:val="20"/>
          <w:szCs w:val="20"/>
        </w:rPr>
      </w:pPr>
      <w:r>
        <w:rPr>
          <w:b/>
          <w:bCs/>
          <w:sz w:val="20"/>
          <w:szCs w:val="20"/>
        </w:rPr>
        <w:t>Argued: October 13, 2009</w:t>
      </w:r>
    </w:p>
    <w:p w14:paraId="5280D9FC" w14:textId="77777777" w:rsidR="00565FBC" w:rsidRDefault="00000000">
      <w:pPr>
        <w:rPr>
          <w:b/>
          <w:bCs/>
          <w:sz w:val="20"/>
          <w:szCs w:val="20"/>
        </w:rPr>
      </w:pPr>
      <w:r>
        <w:rPr>
          <w:b/>
          <w:bCs/>
          <w:sz w:val="20"/>
          <w:szCs w:val="20"/>
        </w:rPr>
        <w:t>Decided: March 31, 2010</w:t>
      </w:r>
    </w:p>
    <w:p w14:paraId="34377D07" w14:textId="77777777" w:rsidR="00565FBC" w:rsidRDefault="00000000">
      <w:pPr>
        <w:pStyle w:val="Heading3"/>
        <w:keepNext w:val="0"/>
        <w:keepLines w:val="0"/>
        <w:spacing w:before="280"/>
        <w:rPr>
          <w:b/>
          <w:bCs/>
          <w:color w:val="000000"/>
          <w:sz w:val="24"/>
          <w:szCs w:val="24"/>
        </w:rPr>
      </w:pPr>
      <w:bookmarkStart w:id="1" w:name="_r39bten2rnnn" w:colFirst="0" w:colLast="0"/>
      <w:bookmarkEnd w:id="1"/>
      <w:r>
        <w:rPr>
          <w:b/>
          <w:bCs/>
          <w:color w:val="000000"/>
          <w:sz w:val="24"/>
          <w:szCs w:val="24"/>
        </w:rPr>
        <w:t>What happened?</w:t>
      </w:r>
    </w:p>
    <w:p w14:paraId="4FC43F46" w14:textId="77777777" w:rsidR="00565FBC" w:rsidRDefault="00000000">
      <w:pPr>
        <w:spacing w:before="240" w:after="240"/>
        <w:rPr>
          <w:sz w:val="20"/>
          <w:szCs w:val="20"/>
        </w:rPr>
      </w:pPr>
      <w:r>
        <w:rPr>
          <w:sz w:val="20"/>
          <w:szCs w:val="20"/>
        </w:rPr>
        <w:t xml:space="preserve">José Padilla, a native of Honduras, had lived legally in the United States for over 40 years. He was a lawful permanent resident, a Vietnam War veteran, a truck driver, and held deep ties to the U.S. When Padilla was charged in Kentucky with transporting marijuana, he faced serious criminal charges. Padilla’s court-appointed defense attorney advised him to plead guilty to the drug offense to avoid jail time and explicitly told him that he “did not have to worry about immigration status” because of how long he had lived in the country. Based on this advice, Padilla pled guilty. However, that advice was incorrect. Under federal immigration law, Padilla’s plea made him automatically deportable with no opportunity for relief due to the nature of the drug offense. Once Padilla learned the truth, he immediately sought to withdraw his guilty plea, claiming his attorney’s bad legal advice violated his 6th Amendment right to effective counsel. </w:t>
      </w:r>
    </w:p>
    <w:p w14:paraId="36BC3014" w14:textId="77777777" w:rsidR="00565FBC" w:rsidRDefault="00000000">
      <w:pPr>
        <w:spacing w:before="240" w:after="240"/>
        <w:rPr>
          <w:sz w:val="20"/>
          <w:szCs w:val="20"/>
        </w:rPr>
      </w:pPr>
      <w:r>
        <w:rPr>
          <w:sz w:val="20"/>
          <w:szCs w:val="20"/>
        </w:rPr>
        <w:t xml:space="preserve">Kentucky courts initially rejected his claim, saying that deportation was merely a “collateral consequence,” so his attorney didn't have to advise him about it. Padilla then appealed to the U.S. Supreme Court, arguing that immigration consequences are so serious and predictable that a defense attorney must address them when advising a client about a plea. </w:t>
      </w:r>
    </w:p>
    <w:p w14:paraId="6C8D4C53" w14:textId="77777777" w:rsidR="00565FBC" w:rsidRDefault="00000000">
      <w:pPr>
        <w:pStyle w:val="Heading3"/>
        <w:keepNext w:val="0"/>
        <w:keepLines w:val="0"/>
        <w:spacing w:before="280"/>
        <w:rPr>
          <w:b/>
          <w:bCs/>
          <w:color w:val="000000"/>
          <w:sz w:val="24"/>
          <w:szCs w:val="24"/>
        </w:rPr>
      </w:pPr>
      <w:bookmarkStart w:id="2" w:name="_kzwuyjudmci0" w:colFirst="0" w:colLast="0"/>
      <w:bookmarkEnd w:id="2"/>
      <w:r>
        <w:rPr>
          <w:b/>
          <w:bCs/>
          <w:color w:val="000000"/>
          <w:sz w:val="24"/>
          <w:szCs w:val="24"/>
        </w:rPr>
        <w:t>What did the Supreme Court decide?</w:t>
      </w:r>
    </w:p>
    <w:p w14:paraId="03B5FCEC" w14:textId="77777777" w:rsidR="00565FBC" w:rsidRDefault="00000000">
      <w:pPr>
        <w:spacing w:before="240" w:after="240"/>
        <w:rPr>
          <w:sz w:val="20"/>
          <w:szCs w:val="20"/>
        </w:rPr>
      </w:pPr>
      <w:r>
        <w:rPr>
          <w:sz w:val="20"/>
          <w:szCs w:val="20"/>
        </w:rPr>
        <w:t>In</w:t>
      </w:r>
      <w:r>
        <w:rPr>
          <w:i/>
          <w:iCs/>
          <w:sz w:val="20"/>
          <w:szCs w:val="20"/>
        </w:rPr>
        <w:t xml:space="preserve"> Padilla v. Kentucky</w:t>
      </w:r>
      <w:r>
        <w:rPr>
          <w:sz w:val="20"/>
          <w:szCs w:val="20"/>
        </w:rPr>
        <w:t xml:space="preserve"> (2010), the U.S. Supreme Court ruled 7-2 in favor of Jose Padilla, holding that his 6th Amendment right to effective counsel had been violated. The Court found that Padilla’s attorney provided incorrect legal advice when he told Padilla that he did not need to worry about immigration consequences if he pled guilty to drug charges. </w:t>
      </w:r>
      <w:proofErr w:type="gramStart"/>
      <w:r>
        <w:rPr>
          <w:sz w:val="20"/>
          <w:szCs w:val="20"/>
        </w:rPr>
        <w:t>In reality, Padilla’s</w:t>
      </w:r>
      <w:proofErr w:type="gramEnd"/>
      <w:r>
        <w:rPr>
          <w:sz w:val="20"/>
          <w:szCs w:val="20"/>
        </w:rPr>
        <w:t xml:space="preserve"> guilty plea triggered automatic deportation under federal immigration law. The Court emphasized that deportation is not merely a “collateral consequence” of a conviction - it is a direct and severe penalty that is often “intimately related to the criminal process.” Because of its serious and predictable nature, the Court ruled that defense attorneys have a constitutional duty to inform noncitizen clients of the potential immigration consequences of pleading guilty. </w:t>
      </w:r>
    </w:p>
    <w:p w14:paraId="77B4AB72" w14:textId="77777777" w:rsidR="00565FBC" w:rsidRDefault="00000000">
      <w:pPr>
        <w:spacing w:before="240" w:after="240"/>
        <w:rPr>
          <w:b/>
          <w:bCs/>
          <w:color w:val="000000"/>
          <w:sz w:val="24"/>
          <w:szCs w:val="24"/>
        </w:rPr>
      </w:pPr>
      <w:r>
        <w:rPr>
          <w:sz w:val="20"/>
          <w:szCs w:val="20"/>
        </w:rPr>
        <w:t xml:space="preserve">The Court applied the </w:t>
      </w:r>
      <w:r>
        <w:rPr>
          <w:i/>
          <w:iCs/>
          <w:sz w:val="20"/>
          <w:szCs w:val="20"/>
        </w:rPr>
        <w:t>Strickland v. Washington</w:t>
      </w:r>
      <w:r>
        <w:rPr>
          <w:sz w:val="20"/>
          <w:szCs w:val="20"/>
        </w:rPr>
        <w:t xml:space="preserve"> two-pronged test for ineffective assistance of counsel. It held that Padilla’s lawyer’s performance fell below an objective standard of reasonableness and that such </w:t>
      </w:r>
      <w:proofErr w:type="spellStart"/>
      <w:r>
        <w:rPr>
          <w:sz w:val="20"/>
          <w:szCs w:val="20"/>
        </w:rPr>
        <w:t>misadvice</w:t>
      </w:r>
      <w:proofErr w:type="spellEnd"/>
      <w:r>
        <w:rPr>
          <w:sz w:val="20"/>
          <w:szCs w:val="20"/>
        </w:rPr>
        <w:t xml:space="preserve"> could have caused Padilla to </w:t>
      </w:r>
      <w:proofErr w:type="gramStart"/>
      <w:r>
        <w:rPr>
          <w:sz w:val="20"/>
          <w:szCs w:val="20"/>
        </w:rPr>
        <w:t>make a decision</w:t>
      </w:r>
      <w:proofErr w:type="gramEnd"/>
      <w:r>
        <w:rPr>
          <w:sz w:val="20"/>
          <w:szCs w:val="20"/>
        </w:rPr>
        <w:t xml:space="preserve"> he otherwise would not have made. Justice Stevens, writing for the majority, stated, “It is our responsibility under the Constitution to ensure that no criminal defendant - whether a citizen or not - is left to the mercies of incompetent counsel.” The decision marked a significant expansion of what is considered effective legal representation under the 6th </w:t>
      </w:r>
      <w:r>
        <w:rPr>
          <w:sz w:val="20"/>
          <w:szCs w:val="20"/>
        </w:rPr>
        <w:lastRenderedPageBreak/>
        <w:t xml:space="preserve">Amendment. By including immigration advice within that scope, the Court acknowledged the profound and life-altering consequences that can result from a guilty plea - especially for noncitizen defendants. </w:t>
      </w:r>
    </w:p>
    <w:p w14:paraId="692219B7" w14:textId="77777777" w:rsidR="00565FBC" w:rsidRDefault="00000000">
      <w:pPr>
        <w:pStyle w:val="Heading3"/>
        <w:keepNext w:val="0"/>
        <w:keepLines w:val="0"/>
        <w:spacing w:before="280"/>
        <w:rPr>
          <w:b/>
          <w:bCs/>
          <w:color w:val="000000"/>
          <w:sz w:val="24"/>
          <w:szCs w:val="24"/>
        </w:rPr>
      </w:pPr>
      <w:bookmarkStart w:id="3" w:name="_7kxs21mrnknp" w:colFirst="0" w:colLast="0"/>
      <w:bookmarkEnd w:id="3"/>
      <w:r>
        <w:rPr>
          <w:b/>
          <w:bCs/>
          <w:color w:val="000000"/>
          <w:sz w:val="24"/>
          <w:szCs w:val="24"/>
        </w:rPr>
        <w:t>Majority Opinion (Most Justices Agreed):</w:t>
      </w:r>
    </w:p>
    <w:p w14:paraId="5C41717F" w14:textId="77777777" w:rsidR="00565FBC" w:rsidRDefault="00000000">
      <w:pPr>
        <w:numPr>
          <w:ilvl w:val="0"/>
          <w:numId w:val="2"/>
        </w:numPr>
        <w:spacing w:before="240"/>
        <w:rPr>
          <w:sz w:val="20"/>
          <w:szCs w:val="20"/>
        </w:rPr>
      </w:pPr>
      <w:r>
        <w:rPr>
          <w:sz w:val="20"/>
          <w:szCs w:val="20"/>
        </w:rPr>
        <w:t>The Court said that immigration consequences (like deportation) are very serious.</w:t>
      </w:r>
    </w:p>
    <w:p w14:paraId="55AC042E" w14:textId="77777777" w:rsidR="00565FBC" w:rsidRDefault="00000000">
      <w:pPr>
        <w:numPr>
          <w:ilvl w:val="0"/>
          <w:numId w:val="2"/>
        </w:numPr>
        <w:rPr>
          <w:sz w:val="20"/>
          <w:szCs w:val="20"/>
        </w:rPr>
      </w:pPr>
      <w:r>
        <w:rPr>
          <w:sz w:val="20"/>
          <w:szCs w:val="20"/>
        </w:rPr>
        <w:t>A lawyer must give correct advice about deportation if the client is not a U.S. citizen.</w:t>
      </w:r>
    </w:p>
    <w:p w14:paraId="432939E5" w14:textId="77777777" w:rsidR="00565FBC" w:rsidRDefault="00000000">
      <w:pPr>
        <w:numPr>
          <w:ilvl w:val="0"/>
          <w:numId w:val="2"/>
        </w:numPr>
        <w:rPr>
          <w:sz w:val="20"/>
          <w:szCs w:val="20"/>
        </w:rPr>
      </w:pPr>
      <w:r>
        <w:rPr>
          <w:sz w:val="20"/>
          <w:szCs w:val="20"/>
        </w:rPr>
        <w:t>Because Padilla’s lawyer gave bad advice, Padilla’s rights were violated.</w:t>
      </w:r>
    </w:p>
    <w:p w14:paraId="1F9ED039" w14:textId="77777777" w:rsidR="00565FBC" w:rsidRDefault="00000000">
      <w:pPr>
        <w:numPr>
          <w:ilvl w:val="0"/>
          <w:numId w:val="2"/>
        </w:numPr>
        <w:spacing w:after="240"/>
        <w:rPr>
          <w:sz w:val="20"/>
          <w:szCs w:val="20"/>
        </w:rPr>
      </w:pPr>
      <w:r>
        <w:rPr>
          <w:sz w:val="20"/>
          <w:szCs w:val="20"/>
        </w:rPr>
        <w:t>The Court said Padilla could withdraw his guilty plea.</w:t>
      </w:r>
    </w:p>
    <w:p w14:paraId="2AA6DFDE" w14:textId="77777777" w:rsidR="00565FBC" w:rsidRDefault="00000000">
      <w:pPr>
        <w:pStyle w:val="Heading3"/>
        <w:keepNext w:val="0"/>
        <w:keepLines w:val="0"/>
        <w:spacing w:before="280"/>
        <w:rPr>
          <w:b/>
          <w:bCs/>
          <w:color w:val="000000"/>
          <w:sz w:val="24"/>
          <w:szCs w:val="24"/>
        </w:rPr>
      </w:pPr>
      <w:bookmarkStart w:id="4" w:name="_awinagpocff0" w:colFirst="0" w:colLast="0"/>
      <w:bookmarkEnd w:id="4"/>
      <w:r>
        <w:rPr>
          <w:b/>
          <w:bCs/>
          <w:color w:val="000000"/>
          <w:sz w:val="24"/>
          <w:szCs w:val="24"/>
        </w:rPr>
        <w:t>Dissenting Opinion (Some Justices Disagreed):</w:t>
      </w:r>
    </w:p>
    <w:p w14:paraId="5EE71439" w14:textId="77777777" w:rsidR="00565FBC" w:rsidRDefault="00000000">
      <w:pPr>
        <w:numPr>
          <w:ilvl w:val="0"/>
          <w:numId w:val="1"/>
        </w:numPr>
        <w:spacing w:before="240"/>
        <w:rPr>
          <w:sz w:val="20"/>
          <w:szCs w:val="20"/>
        </w:rPr>
      </w:pPr>
      <w:r>
        <w:rPr>
          <w:sz w:val="20"/>
          <w:szCs w:val="20"/>
        </w:rPr>
        <w:t>A few justices, like Justice Scalia and Justice Thomas, said this was too much to ask from lawyers.</w:t>
      </w:r>
    </w:p>
    <w:p w14:paraId="61FFC0F9" w14:textId="77777777" w:rsidR="00565FBC" w:rsidRDefault="00000000">
      <w:pPr>
        <w:numPr>
          <w:ilvl w:val="0"/>
          <w:numId w:val="1"/>
        </w:numPr>
        <w:rPr>
          <w:sz w:val="20"/>
          <w:szCs w:val="20"/>
        </w:rPr>
      </w:pPr>
      <w:r>
        <w:rPr>
          <w:sz w:val="20"/>
          <w:szCs w:val="20"/>
        </w:rPr>
        <w:t>They believed the Constitution only requires a lawyer to help with the criminal case, not immigration.</w:t>
      </w:r>
    </w:p>
    <w:p w14:paraId="2B9AEA5F" w14:textId="77777777" w:rsidR="00565FBC" w:rsidRDefault="00000000">
      <w:pPr>
        <w:numPr>
          <w:ilvl w:val="0"/>
          <w:numId w:val="1"/>
        </w:numPr>
        <w:spacing w:after="240"/>
        <w:rPr>
          <w:sz w:val="20"/>
          <w:szCs w:val="20"/>
        </w:rPr>
      </w:pPr>
      <w:r>
        <w:rPr>
          <w:sz w:val="20"/>
          <w:szCs w:val="20"/>
        </w:rPr>
        <w:t>They worried this decision would make it harder for courts to finish cases.</w:t>
      </w:r>
    </w:p>
    <w:p w14:paraId="711E1726" w14:textId="77777777" w:rsidR="00565FBC" w:rsidRDefault="00000000">
      <w:pPr>
        <w:spacing w:before="240" w:after="240"/>
        <w:rPr>
          <w:b/>
          <w:bCs/>
          <w:color w:val="000000"/>
          <w:sz w:val="24"/>
          <w:szCs w:val="24"/>
        </w:rPr>
      </w:pPr>
      <w:r>
        <w:rPr>
          <w:sz w:val="20"/>
          <w:szCs w:val="20"/>
        </w:rPr>
        <w:t>Main Point: They thought the Constitution does not require lawyers to explain immigration consequences.</w:t>
      </w:r>
    </w:p>
    <w:p w14:paraId="2A6B0870" w14:textId="77777777" w:rsidR="00565FBC" w:rsidRDefault="00000000">
      <w:pPr>
        <w:pStyle w:val="Heading3"/>
        <w:keepNext w:val="0"/>
        <w:keepLines w:val="0"/>
        <w:spacing w:before="280"/>
        <w:rPr>
          <w:b/>
          <w:bCs/>
          <w:color w:val="000000"/>
          <w:sz w:val="24"/>
          <w:szCs w:val="24"/>
        </w:rPr>
      </w:pPr>
      <w:bookmarkStart w:id="5" w:name="_r1s1qlyt4qot" w:colFirst="0" w:colLast="0"/>
      <w:bookmarkEnd w:id="5"/>
      <w:r>
        <w:rPr>
          <w:b/>
          <w:bCs/>
          <w:color w:val="000000"/>
          <w:sz w:val="24"/>
          <w:szCs w:val="24"/>
        </w:rPr>
        <w:t>Why is this significant?</w:t>
      </w:r>
    </w:p>
    <w:p w14:paraId="672F7F6F" w14:textId="77777777" w:rsidR="00565FBC" w:rsidRDefault="00000000">
      <w:pPr>
        <w:spacing w:before="240" w:after="240"/>
        <w:rPr>
          <w:sz w:val="20"/>
          <w:szCs w:val="20"/>
        </w:rPr>
      </w:pPr>
      <w:r>
        <w:rPr>
          <w:sz w:val="20"/>
          <w:szCs w:val="20"/>
        </w:rPr>
        <w:t xml:space="preserve">Padilla v. Kentucky is a landmark case because it expanded the definition of effective legal counsel under the 6th Amendment to include accurate advice about the immigration consequences of a guilty plea. This was the first time the Supreme Court acknowledged that the real-life impact of a criminal conviction - especially deportation - is serious and predictable, and that defense attorneys have a constitutional obligation to inform their clients before they plead guilty. </w:t>
      </w:r>
    </w:p>
    <w:p w14:paraId="2438C1DB" w14:textId="77777777" w:rsidR="00565FBC" w:rsidRDefault="00000000">
      <w:pPr>
        <w:spacing w:before="240" w:after="240"/>
        <w:rPr>
          <w:sz w:val="20"/>
          <w:szCs w:val="20"/>
        </w:rPr>
      </w:pPr>
      <w:r>
        <w:rPr>
          <w:sz w:val="20"/>
          <w:szCs w:val="20"/>
        </w:rPr>
        <w:t xml:space="preserve">This decision is especially important for noncitizen defendants, who often face automatic deportation after certain convictions, even for first-time or nonviolent offenses. Before </w:t>
      </w:r>
      <w:r>
        <w:rPr>
          <w:i/>
          <w:iCs/>
          <w:sz w:val="20"/>
          <w:szCs w:val="20"/>
        </w:rPr>
        <w:t>Padilla</w:t>
      </w:r>
      <w:r>
        <w:rPr>
          <w:sz w:val="20"/>
          <w:szCs w:val="20"/>
        </w:rPr>
        <w:t xml:space="preserve">, many courts treated deportation as a “collateral consequence” that attorneys were not required to address. But the Court recognized that deportation is not just a side effect - it can be more severe than the criminal sentence itself. By requiring attorneys to give correct legal advice about immigration outcomes, the ruling helped protect immigrant defendants from making uninformed decisions that could separate them from their families, homes, and livelihoods permanently. </w:t>
      </w:r>
    </w:p>
    <w:p w14:paraId="3071C40E" w14:textId="77777777" w:rsidR="00565FBC" w:rsidRDefault="00000000">
      <w:pPr>
        <w:spacing w:before="240" w:after="240"/>
        <w:rPr>
          <w:sz w:val="20"/>
          <w:szCs w:val="20"/>
        </w:rPr>
      </w:pPr>
      <w:r>
        <w:rPr>
          <w:sz w:val="20"/>
          <w:szCs w:val="20"/>
        </w:rPr>
        <w:t xml:space="preserve">Additionally, the ruling strengthened the 6th Amendment by clarifying that the right to counsel means the right to effective counsel. It also reaffirmed the importance of the </w:t>
      </w:r>
      <w:r>
        <w:rPr>
          <w:i/>
          <w:iCs/>
          <w:sz w:val="20"/>
          <w:szCs w:val="20"/>
        </w:rPr>
        <w:t>Strickland v. Washington</w:t>
      </w:r>
      <w:r>
        <w:rPr>
          <w:sz w:val="20"/>
          <w:szCs w:val="20"/>
        </w:rPr>
        <w:t xml:space="preserve"> standard for judging </w:t>
      </w:r>
      <w:proofErr w:type="gramStart"/>
      <w:r>
        <w:rPr>
          <w:sz w:val="20"/>
          <w:szCs w:val="20"/>
        </w:rPr>
        <w:t>attorney</w:t>
      </w:r>
      <w:proofErr w:type="gramEnd"/>
      <w:r>
        <w:rPr>
          <w:sz w:val="20"/>
          <w:szCs w:val="20"/>
        </w:rPr>
        <w:t xml:space="preserve"> performance, giving courts a clear way to evaluate whether bad legal advice undermines a fair trial. </w:t>
      </w:r>
    </w:p>
    <w:p w14:paraId="177B0A3B" w14:textId="77777777" w:rsidR="00565FBC" w:rsidRDefault="00000000">
      <w:pPr>
        <w:spacing w:before="240" w:after="240"/>
        <w:rPr>
          <w:sz w:val="20"/>
          <w:szCs w:val="20"/>
        </w:rPr>
      </w:pPr>
      <w:r>
        <w:rPr>
          <w:sz w:val="20"/>
          <w:szCs w:val="20"/>
        </w:rPr>
        <w:t xml:space="preserve">In short, </w:t>
      </w:r>
      <w:r>
        <w:rPr>
          <w:i/>
          <w:iCs/>
          <w:sz w:val="20"/>
          <w:szCs w:val="20"/>
        </w:rPr>
        <w:t xml:space="preserve">Padilla v. Kentucky </w:t>
      </w:r>
      <w:r>
        <w:rPr>
          <w:sz w:val="20"/>
          <w:szCs w:val="20"/>
        </w:rPr>
        <w:t xml:space="preserve">reinforced that justice depends not only on having a lawyer, but on having one who understands and communicates the full consequences of a plea - especially when those consequences may be life-changing. </w:t>
      </w:r>
    </w:p>
    <w:sectPr w:rsidR="00565FB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2DCD2" w14:textId="77777777" w:rsidR="001F44A2" w:rsidRDefault="001F44A2" w:rsidP="00973DCC">
      <w:pPr>
        <w:spacing w:line="240" w:lineRule="auto"/>
      </w:pPr>
      <w:r>
        <w:separator/>
      </w:r>
    </w:p>
  </w:endnote>
  <w:endnote w:type="continuationSeparator" w:id="0">
    <w:p w14:paraId="39EA4DB0" w14:textId="77777777" w:rsidR="001F44A2" w:rsidRDefault="001F44A2" w:rsidP="00973D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72D89A1A-95A9-40B2-8544-2DA65EF12B29}"/>
  </w:font>
  <w:font w:name="Cambria">
    <w:panose1 w:val="02040503050406030204"/>
    <w:charset w:val="00"/>
    <w:family w:val="roman"/>
    <w:pitch w:val="variable"/>
    <w:sig w:usb0="E00006FF" w:usb1="420024FF" w:usb2="02000000" w:usb3="00000000" w:csb0="0000019F" w:csb1="00000000"/>
    <w:embedRegular r:id="rId2" w:fontKey="{A35E2CC8-6945-436D-B20E-E2AF25B383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374A" w14:textId="77777777" w:rsidR="00973DCC" w:rsidRDefault="00973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4A8B" w14:textId="0EEBE84F" w:rsidR="00973DCC" w:rsidRDefault="00973DCC">
    <w:pPr>
      <w:pStyle w:val="Footer"/>
    </w:pPr>
    <w:r>
      <w:rPr>
        <w:rFonts w:ascii="TimesNewRomanPSMT" w:hAnsi="TimesNewRomanPSMT" w:cs="TimesNewRomanPSMT"/>
        <w:lang w:val="en-US"/>
      </w:rPr>
      <w:t xml:space="preserve">© PIH Network </w:t>
    </w:r>
    <w:r>
      <w:rPr>
        <w:rFonts w:ascii="TimesNewRomanPSMT" w:hAnsi="TimesNewRomanPSMT" w:cs="TimesNewRomanPSMT"/>
        <w:lang w:val="en-US"/>
      </w:rPr>
      <w:t>202</w:t>
    </w:r>
    <w:r>
      <w:rPr>
        <w:rFonts w:ascii="TimesNewRomanPSMT" w:hAnsi="TimesNewRomanPSMT" w:cs="TimesNewRomanPSMT"/>
        <w:lang w:val="en-US"/>
      </w:rPr>
      <w:t>6</w:t>
    </w:r>
  </w:p>
  <w:p w14:paraId="4D152D2F" w14:textId="77777777" w:rsidR="00973DCC" w:rsidRDefault="00973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0205" w14:textId="77777777" w:rsidR="00973DCC" w:rsidRDefault="00973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14D5C" w14:textId="77777777" w:rsidR="001F44A2" w:rsidRDefault="001F44A2" w:rsidP="00973DCC">
      <w:pPr>
        <w:spacing w:line="240" w:lineRule="auto"/>
      </w:pPr>
      <w:r>
        <w:separator/>
      </w:r>
    </w:p>
  </w:footnote>
  <w:footnote w:type="continuationSeparator" w:id="0">
    <w:p w14:paraId="0BB4DF09" w14:textId="77777777" w:rsidR="001F44A2" w:rsidRDefault="001F44A2" w:rsidP="00973D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B9F2" w14:textId="77777777" w:rsidR="00973DCC" w:rsidRDefault="00973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0F9A" w14:textId="77777777" w:rsidR="00973DCC" w:rsidRDefault="00973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CB6BB" w14:textId="77777777" w:rsidR="00973DCC" w:rsidRDefault="00973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D1086"/>
    <w:multiLevelType w:val="multilevel"/>
    <w:tmpl w:val="11789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6027D8"/>
    <w:multiLevelType w:val="multilevel"/>
    <w:tmpl w:val="9A36A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7289109">
    <w:abstractNumId w:val="1"/>
  </w:num>
  <w:num w:numId="2" w16cid:durableId="1915705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FBC"/>
    <w:rsid w:val="001F44A2"/>
    <w:rsid w:val="00565FBC"/>
    <w:rsid w:val="00973DCC"/>
    <w:rsid w:val="00EA5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8FEA4E"/>
  <w15:docId w15:val="{B0627AE9-8D42-47EE-B5DA-C70B1F12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73DCC"/>
    <w:pPr>
      <w:tabs>
        <w:tab w:val="center" w:pos="4680"/>
        <w:tab w:val="right" w:pos="9360"/>
      </w:tabs>
      <w:spacing w:line="240" w:lineRule="auto"/>
    </w:pPr>
  </w:style>
  <w:style w:type="character" w:customStyle="1" w:styleId="HeaderChar">
    <w:name w:val="Header Char"/>
    <w:basedOn w:val="DefaultParagraphFont"/>
    <w:link w:val="Header"/>
    <w:uiPriority w:val="99"/>
    <w:rsid w:val="00973DCC"/>
  </w:style>
  <w:style w:type="paragraph" w:styleId="Footer">
    <w:name w:val="footer"/>
    <w:basedOn w:val="Normal"/>
    <w:link w:val="FooterChar"/>
    <w:uiPriority w:val="99"/>
    <w:unhideWhenUsed/>
    <w:rsid w:val="00973DCC"/>
    <w:pPr>
      <w:tabs>
        <w:tab w:val="center" w:pos="4680"/>
        <w:tab w:val="right" w:pos="9360"/>
      </w:tabs>
      <w:spacing w:line="240" w:lineRule="auto"/>
    </w:pPr>
  </w:style>
  <w:style w:type="character" w:customStyle="1" w:styleId="FooterChar">
    <w:name w:val="Footer Char"/>
    <w:basedOn w:val="DefaultParagraphFont"/>
    <w:link w:val="Footer"/>
    <w:uiPriority w:val="99"/>
    <w:rsid w:val="00973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845</Words>
  <Characters>4821</Characters>
  <Application>Microsoft Office Word</Application>
  <DocSecurity>0</DocSecurity>
  <Lines>40</Lines>
  <Paragraphs>11</Paragraphs>
  <ScaleCrop>false</ScaleCrop>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Phillips, Nicholas</cp:lastModifiedBy>
  <cp:revision>2</cp:revision>
  <dcterms:created xsi:type="dcterms:W3CDTF">2026-07-02T18:05:00Z</dcterms:created>
  <dcterms:modified xsi:type="dcterms:W3CDTF">2026-07-02T18:05:00Z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2026-07-02T18:05:37Z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c3ba97d0-75df-4749-b811-1ea9b1e52260</vt:lpwstr>
  </property>
  <property fmtid="{D5CDD505-2E9C-101B-9397-08002B2CF9AE}" pid="8" name="MSIP_Label_0ee3c538-ec52-435f-ae58-017644bd9513_ContentBits">
    <vt:lpwstr>0</vt:lpwstr>
  </property>
  <property fmtid="{D5CDD505-2E9C-101B-9397-08002B2CF9AE}" pid="9" name="MSIP_Label_0ee3c538-ec52-435f-ae58-017644bd9513_Tag">
    <vt:lpwstr>10, 3, 0, 1</vt:lpwstr>
  </property>
</Properties>
</file>