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E06B3" w14:textId="77777777" w:rsidR="00CD09C5" w:rsidRDefault="00000000">
      <w:pPr>
        <w:jc w:val="center"/>
        <w:rPr>
          <w:b/>
          <w:bCs/>
          <w:i/>
          <w:iCs/>
          <w:sz w:val="40"/>
          <w:szCs w:val="40"/>
        </w:rPr>
      </w:pPr>
      <w:r>
        <w:rPr>
          <w:b/>
          <w:bCs/>
          <w:i/>
          <w:iCs/>
          <w:sz w:val="40"/>
          <w:szCs w:val="40"/>
        </w:rPr>
        <w:t>Gideon v. Wainwright (1963)</w:t>
      </w:r>
    </w:p>
    <w:p w14:paraId="5363D7DE" w14:textId="77777777" w:rsidR="00CD09C5" w:rsidRDefault="00000000">
      <w:r>
        <w:rPr>
          <w:noProof/>
        </w:rPr>
        <w:drawing>
          <wp:anchor distT="114300" distB="114300" distL="114300" distR="114300" simplePos="0" relativeHeight="251658240" behindDoc="0" locked="0" layoutInCell="1" hidden="0" allowOverlap="1" wp14:anchorId="56012F14" wp14:editId="067803B6">
            <wp:simplePos x="0" y="0"/>
            <wp:positionH relativeFrom="column">
              <wp:posOffset>19051</wp:posOffset>
            </wp:positionH>
            <wp:positionV relativeFrom="paragraph">
              <wp:posOffset>203788</wp:posOffset>
            </wp:positionV>
            <wp:extent cx="2235200" cy="2044700"/>
            <wp:effectExtent l="0" t="0" r="0" b="0"/>
            <wp:wrapSquare wrapText="bothSides" distT="114300" distB="114300" distL="114300" distR="114300"/>
            <wp:docPr id="1" name="image1.jpg" descr="Legacy Of Gideon V. Wainwright - WPR"/>
            <wp:cNvGraphicFramePr/>
            <a:graphic xmlns:a="http://schemas.openxmlformats.org/drawingml/2006/main">
              <a:graphicData uri="http://schemas.openxmlformats.org/drawingml/2006/picture">
                <pic:pic xmlns:pic="http://schemas.openxmlformats.org/drawingml/2006/picture">
                  <pic:nvPicPr>
                    <pic:cNvPr id="0" name="image1.jpg" descr="Legacy Of Gideon V. Wainwright - WPR"/>
                    <pic:cNvPicPr preferRelativeResize="0"/>
                  </pic:nvPicPr>
                  <pic:blipFill>
                    <a:blip r:embed="rId6"/>
                    <a:srcRect/>
                    <a:stretch>
                      <a:fillRect/>
                    </a:stretch>
                  </pic:blipFill>
                  <pic:spPr>
                    <a:xfrm>
                      <a:off x="0" y="0"/>
                      <a:ext cx="2235200" cy="2044700"/>
                    </a:xfrm>
                    <a:prstGeom prst="rect">
                      <a:avLst/>
                    </a:prstGeom>
                    <a:ln/>
                  </pic:spPr>
                </pic:pic>
              </a:graphicData>
            </a:graphic>
          </wp:anchor>
        </w:drawing>
      </w:r>
    </w:p>
    <w:p w14:paraId="385D4D7E" w14:textId="77777777" w:rsidR="00CD09C5" w:rsidRDefault="00000000">
      <w:pPr>
        <w:rPr>
          <w:b/>
          <w:bCs/>
        </w:rPr>
      </w:pPr>
      <w:r>
        <w:rPr>
          <w:b/>
          <w:bCs/>
        </w:rPr>
        <w:t>No. 155</w:t>
      </w:r>
    </w:p>
    <w:p w14:paraId="6E72BF8D" w14:textId="77777777" w:rsidR="00CD09C5" w:rsidRDefault="00000000">
      <w:pPr>
        <w:rPr>
          <w:b/>
          <w:bCs/>
        </w:rPr>
      </w:pPr>
      <w:r>
        <w:rPr>
          <w:b/>
          <w:bCs/>
        </w:rPr>
        <w:t>Argued January 15, 1963</w:t>
      </w:r>
    </w:p>
    <w:p w14:paraId="432B69D3" w14:textId="77777777" w:rsidR="00CD09C5" w:rsidRDefault="00000000">
      <w:pPr>
        <w:rPr>
          <w:b/>
          <w:bCs/>
        </w:rPr>
      </w:pPr>
      <w:r>
        <w:rPr>
          <w:b/>
          <w:bCs/>
        </w:rPr>
        <w:t>Decided March 18, 1963</w:t>
      </w:r>
    </w:p>
    <w:p w14:paraId="7387A92D" w14:textId="77777777" w:rsidR="00CD09C5" w:rsidRDefault="00000000">
      <w:pPr>
        <w:rPr>
          <w:b/>
          <w:bCs/>
        </w:rPr>
      </w:pPr>
      <w:r>
        <w:rPr>
          <w:b/>
          <w:bCs/>
        </w:rPr>
        <w:t>372 U.S. 335</w:t>
      </w:r>
    </w:p>
    <w:p w14:paraId="36722845" w14:textId="77777777" w:rsidR="00CD09C5" w:rsidRDefault="00CD09C5"/>
    <w:p w14:paraId="547FC1E5" w14:textId="77777777" w:rsidR="00CD09C5" w:rsidRDefault="00000000">
      <w:pPr>
        <w:rPr>
          <w:b/>
          <w:bCs/>
        </w:rPr>
      </w:pPr>
      <w:r>
        <w:rPr>
          <w:b/>
          <w:bCs/>
        </w:rPr>
        <w:t xml:space="preserve">What happened? </w:t>
      </w:r>
    </w:p>
    <w:p w14:paraId="443E5E6F" w14:textId="77777777" w:rsidR="00CD09C5" w:rsidRDefault="00000000">
      <w:r>
        <w:t xml:space="preserve">Clarence Earl Gideon was charged with breaking and entering with the intent to commit a misdemeanor. This charge under Florida law is considered a felony. Because Gideon wasn’t particularly wealthy, he was unable to afford a lawyer at trial. When he requested one, he was denied a lawyer, as Florida law permitted lawyers only to those who couldn’t afford one for capital offenses. He represented himself in the trial, presenting witnesses and cross-testifying as well. He was found guilty and sentenced to 5 years' imprisonment. He filed a petition for a writ of habeas corpus, and the Florida Supreme Court denied his request. He wrote a handwritten letter to the US Supreme Court from jail, to decide the question of whether the 6th Amendment applies to defendants in a state court. </w:t>
      </w:r>
    </w:p>
    <w:p w14:paraId="27B9A5E9" w14:textId="77777777" w:rsidR="00CD09C5" w:rsidRDefault="00CD09C5"/>
    <w:p w14:paraId="181EB077" w14:textId="77777777" w:rsidR="00CD09C5" w:rsidRDefault="00000000">
      <w:pPr>
        <w:rPr>
          <w:b/>
          <w:bCs/>
        </w:rPr>
      </w:pPr>
      <w:r>
        <w:rPr>
          <w:b/>
          <w:bCs/>
        </w:rPr>
        <w:t xml:space="preserve">What Did the Supreme Court Decide? </w:t>
      </w:r>
    </w:p>
    <w:p w14:paraId="6C649062" w14:textId="77777777" w:rsidR="00CD09C5" w:rsidRDefault="00CD09C5">
      <w:pPr>
        <w:rPr>
          <w:b/>
          <w:bCs/>
        </w:rPr>
      </w:pPr>
    </w:p>
    <w:p w14:paraId="6903E08E" w14:textId="77777777" w:rsidR="00CD09C5" w:rsidRDefault="00000000">
      <w:r>
        <w:t xml:space="preserve">The U.S. Supreme Court unanimously overturned Gideon’s conviction, holding that the 6th Amendment’s guarantee of counsel is a fundamental right essential to a fair trial, and that this right applies to the states through the 14th Amendment’s Due Process Clause. Writing for the Court, Justice Black stated: </w:t>
      </w:r>
    </w:p>
    <w:p w14:paraId="54CAA996" w14:textId="77777777" w:rsidR="00CD09C5" w:rsidRDefault="00CD09C5"/>
    <w:p w14:paraId="7DD8BEF3" w14:textId="77777777" w:rsidR="00CD09C5" w:rsidRDefault="00000000">
      <w:pPr>
        <w:ind w:firstLine="720"/>
      </w:pPr>
      <w:r>
        <w:t xml:space="preserve">“In our adversary system of criminal justice, any person </w:t>
      </w:r>
      <w:proofErr w:type="spellStart"/>
      <w:r>
        <w:t>haled</w:t>
      </w:r>
      <w:proofErr w:type="spellEnd"/>
      <w:r>
        <w:t xml:space="preserve"> into court who is too poor    to hire a lawyer cannot be assured a fair trial unless counsel is provided for him.”</w:t>
      </w:r>
    </w:p>
    <w:p w14:paraId="7F2259D9" w14:textId="77777777" w:rsidR="00CD09C5" w:rsidRDefault="00CD09C5"/>
    <w:p w14:paraId="63DDD77C" w14:textId="77777777" w:rsidR="00CD09C5" w:rsidRDefault="00000000">
      <w:r>
        <w:t xml:space="preserve">The Court reasoned that a fair trial cannot be achieved if the defendant does not have legal representation, especially when facing the complex rules and procedures of criminal law. This decision explicitly overturned </w:t>
      </w:r>
      <w:r>
        <w:rPr>
          <w:i/>
          <w:iCs/>
        </w:rPr>
        <w:t>Betts v. Brady</w:t>
      </w:r>
      <w:r>
        <w:t xml:space="preserve"> (1942), which had allowed states to decide whether to appoint counsel in non-capital cases. The Florida Supreme Court was required to retry Gideon with legal counsel, and at his second trial with a public defender present, he was acquitted of all charges. </w:t>
      </w:r>
    </w:p>
    <w:p w14:paraId="50A0A16A" w14:textId="77777777" w:rsidR="00CD09C5" w:rsidRDefault="00CD09C5"/>
    <w:p w14:paraId="3D5D3287" w14:textId="77777777" w:rsidR="00CD09C5" w:rsidRDefault="00000000">
      <w:pPr>
        <w:rPr>
          <w:b/>
          <w:bCs/>
        </w:rPr>
      </w:pPr>
      <w:r>
        <w:rPr>
          <w:b/>
          <w:bCs/>
        </w:rPr>
        <w:t xml:space="preserve">Why is this Significant and Important? </w:t>
      </w:r>
    </w:p>
    <w:p w14:paraId="3B6848C6" w14:textId="77777777" w:rsidR="00CD09C5" w:rsidRDefault="00000000">
      <w:r>
        <w:t xml:space="preserve">This Supreme Court Case transformed the American criminal justice system by guaranteeing that everyone, regardless of income, has the right to a lawyer in a felony trial. This decision recognized that a fair trial isn’t possible if only people who can afford lawyers get legal representation. </w:t>
      </w:r>
    </w:p>
    <w:p w14:paraId="2ABCA4B4" w14:textId="77777777" w:rsidR="00CD09C5" w:rsidRDefault="00CD09C5">
      <w:pPr>
        <w:rPr>
          <w:b/>
          <w:bCs/>
        </w:rPr>
      </w:pPr>
    </w:p>
    <w:p w14:paraId="22075FE4" w14:textId="77777777" w:rsidR="00CD09C5" w:rsidRDefault="00000000">
      <w:pPr>
        <w:rPr>
          <w:b/>
          <w:bCs/>
        </w:rPr>
      </w:pPr>
      <w:r>
        <w:rPr>
          <w:b/>
          <w:bCs/>
        </w:rPr>
        <w:lastRenderedPageBreak/>
        <w:t>Expanded the 6th Amendment</w:t>
      </w:r>
    </w:p>
    <w:p w14:paraId="0FF660C8" w14:textId="77777777" w:rsidR="00CD09C5" w:rsidRDefault="00000000">
      <w:r>
        <w:t xml:space="preserve">The ruling clarified that the 6th Amendment’s right to counsel is not just </w:t>
      </w:r>
      <w:proofErr w:type="gramStart"/>
      <w:r>
        <w:t>a federal</w:t>
      </w:r>
      <w:proofErr w:type="gramEnd"/>
      <w:r>
        <w:t xml:space="preserve"> protection but also applies to state courts. </w:t>
      </w:r>
    </w:p>
    <w:p w14:paraId="79EB9FE9" w14:textId="77777777" w:rsidR="00CD09C5" w:rsidRDefault="00CD09C5">
      <w:pPr>
        <w:rPr>
          <w:b/>
          <w:bCs/>
        </w:rPr>
      </w:pPr>
    </w:p>
    <w:p w14:paraId="5F62A3E1" w14:textId="77777777" w:rsidR="00CD09C5" w:rsidRDefault="00000000">
      <w:pPr>
        <w:rPr>
          <w:b/>
          <w:bCs/>
          <w:i/>
          <w:iCs/>
        </w:rPr>
      </w:pPr>
      <w:r>
        <w:rPr>
          <w:b/>
          <w:bCs/>
        </w:rPr>
        <w:t xml:space="preserve">Overturned </w:t>
      </w:r>
      <w:r>
        <w:rPr>
          <w:b/>
          <w:bCs/>
          <w:i/>
          <w:iCs/>
        </w:rPr>
        <w:t>Betts v. Brady</w:t>
      </w:r>
    </w:p>
    <w:p w14:paraId="6635E0DA" w14:textId="77777777" w:rsidR="00CD09C5" w:rsidRDefault="00000000">
      <w:r>
        <w:t xml:space="preserve">The ruling in </w:t>
      </w:r>
      <w:r>
        <w:rPr>
          <w:i/>
          <w:iCs/>
        </w:rPr>
        <w:t xml:space="preserve">Gideon v. Wainwright </w:t>
      </w:r>
      <w:r>
        <w:t xml:space="preserve">overturned the case of </w:t>
      </w:r>
      <w:r>
        <w:rPr>
          <w:i/>
          <w:iCs/>
        </w:rPr>
        <w:t xml:space="preserve">Betts v. Brady </w:t>
      </w:r>
      <w:r>
        <w:t xml:space="preserve">20 years prior. This case received a substantial amount of backlash as the US Supreme Court ruled in a 6-3 decision that indigent defendants only needed counsel for special occasions. A lawyer was only necessary for special cases. </w:t>
      </w:r>
    </w:p>
    <w:p w14:paraId="3BFFFD89" w14:textId="77777777" w:rsidR="00CD09C5" w:rsidRDefault="00CD09C5"/>
    <w:p w14:paraId="66AE51A6" w14:textId="77777777" w:rsidR="00CD09C5" w:rsidRDefault="00000000">
      <w:pPr>
        <w:rPr>
          <w:b/>
          <w:bCs/>
        </w:rPr>
      </w:pPr>
      <w:r>
        <w:rPr>
          <w:b/>
          <w:bCs/>
        </w:rPr>
        <w:t>Defined the 14th Amendment Due Process</w:t>
      </w:r>
    </w:p>
    <w:p w14:paraId="487F4830" w14:textId="77777777" w:rsidR="00CD09C5" w:rsidRDefault="00000000">
      <w:r>
        <w:t xml:space="preserve">In the </w:t>
      </w:r>
      <w:r>
        <w:rPr>
          <w:i/>
          <w:iCs/>
        </w:rPr>
        <w:t xml:space="preserve">Betts v. Brady </w:t>
      </w:r>
      <w:r>
        <w:t xml:space="preserve">case, the main argument for the majority opinion was that the 14th Amendment's due process clause prevents an unfair trial. It doesn’t, however, provide the case that counsel was necessary for every single case for any individual. The case of </w:t>
      </w:r>
      <w:r>
        <w:rPr>
          <w:i/>
          <w:iCs/>
        </w:rPr>
        <w:t xml:space="preserve">Gideon v. Wainwright, </w:t>
      </w:r>
      <w:r>
        <w:t>however, reshaped this idea and clarified that the 14th Amendment not only protects defendants from an unfair trial, but that denial of counsel was unfair and thus would go against the 14th Amendment.</w:t>
      </w:r>
    </w:p>
    <w:sectPr w:rsidR="00CD09C5">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1ABCD" w14:textId="77777777" w:rsidR="00B50D39" w:rsidRDefault="00B50D39" w:rsidP="00DF35C3">
      <w:pPr>
        <w:spacing w:line="240" w:lineRule="auto"/>
      </w:pPr>
      <w:r>
        <w:separator/>
      </w:r>
    </w:p>
  </w:endnote>
  <w:endnote w:type="continuationSeparator" w:id="0">
    <w:p w14:paraId="234F1E03" w14:textId="77777777" w:rsidR="00B50D39" w:rsidRDefault="00B50D39" w:rsidP="00DF3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38A54BC3-7E12-4B8E-A6C8-3AEDE890B1EB}"/>
  </w:font>
  <w:font w:name="Cambria">
    <w:panose1 w:val="02040503050406030204"/>
    <w:charset w:val="00"/>
    <w:family w:val="roman"/>
    <w:pitch w:val="variable"/>
    <w:sig w:usb0="E00006FF" w:usb1="420024FF" w:usb2="02000000" w:usb3="00000000" w:csb0="0000019F" w:csb1="00000000"/>
    <w:embedRegular r:id="rId2" w:fontKey="{341758C1-2659-409E-BCF1-417D1400A3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4D6E" w14:textId="7B268617" w:rsidR="00DF35C3" w:rsidRDefault="00DF35C3">
    <w:pPr>
      <w:pStyle w:val="Footer"/>
    </w:pPr>
    <w:r>
      <w:rPr>
        <w:rFonts w:ascii="TimesNewRomanPSMT" w:hAnsi="TimesNewRomanPSMT" w:cs="TimesNewRomanPSMT"/>
        <w:lang w:val="en-US"/>
      </w:rPr>
      <w:t>© PIH Network 202</w:t>
    </w:r>
    <w:r>
      <w:rPr>
        <w:rFonts w:ascii="TimesNewRomanPSMT" w:hAnsi="TimesNewRomanPSMT" w:cs="TimesNewRomanPSMT"/>
        <w:lang w:val="en-US"/>
      </w:rPr>
      <w:t>6</w:t>
    </w:r>
  </w:p>
  <w:p w14:paraId="56A6ED3E" w14:textId="77777777" w:rsidR="00DF35C3" w:rsidRDefault="00DF3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4BDF1" w14:textId="77777777" w:rsidR="00B50D39" w:rsidRDefault="00B50D39" w:rsidP="00DF35C3">
      <w:pPr>
        <w:spacing w:line="240" w:lineRule="auto"/>
      </w:pPr>
      <w:r>
        <w:separator/>
      </w:r>
    </w:p>
  </w:footnote>
  <w:footnote w:type="continuationSeparator" w:id="0">
    <w:p w14:paraId="2593664D" w14:textId="77777777" w:rsidR="00B50D39" w:rsidRDefault="00B50D39" w:rsidP="00DF35C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9C5"/>
    <w:rsid w:val="00B50D39"/>
    <w:rsid w:val="00CD09C5"/>
    <w:rsid w:val="00DF35C3"/>
    <w:rsid w:val="00EA5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3EEF9"/>
  <w15:docId w15:val="{B0627AE9-8D42-47EE-B5DA-C70B1F12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F35C3"/>
    <w:pPr>
      <w:tabs>
        <w:tab w:val="center" w:pos="4680"/>
        <w:tab w:val="right" w:pos="9360"/>
      </w:tabs>
      <w:spacing w:line="240" w:lineRule="auto"/>
    </w:pPr>
  </w:style>
  <w:style w:type="character" w:customStyle="1" w:styleId="HeaderChar">
    <w:name w:val="Header Char"/>
    <w:basedOn w:val="DefaultParagraphFont"/>
    <w:link w:val="Header"/>
    <w:uiPriority w:val="99"/>
    <w:rsid w:val="00DF35C3"/>
  </w:style>
  <w:style w:type="paragraph" w:styleId="Footer">
    <w:name w:val="footer"/>
    <w:basedOn w:val="Normal"/>
    <w:link w:val="FooterChar"/>
    <w:uiPriority w:val="99"/>
    <w:unhideWhenUsed/>
    <w:rsid w:val="00DF35C3"/>
    <w:pPr>
      <w:tabs>
        <w:tab w:val="center" w:pos="4680"/>
        <w:tab w:val="right" w:pos="9360"/>
      </w:tabs>
      <w:spacing w:line="240" w:lineRule="auto"/>
    </w:pPr>
  </w:style>
  <w:style w:type="character" w:customStyle="1" w:styleId="FooterChar">
    <w:name w:val="Footer Char"/>
    <w:basedOn w:val="DefaultParagraphFont"/>
    <w:link w:val="Footer"/>
    <w:uiPriority w:val="99"/>
    <w:rsid w:val="00DF3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488</Words>
  <Characters>2784</Characters>
  <Application>Microsoft Office Word</Application>
  <DocSecurity>0</DocSecurity>
  <Lines>23</Lines>
  <Paragraphs>6</Paragraphs>
  <ScaleCrop>false</ScaleCrop>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Phillips, Nicholas</cp:lastModifiedBy>
  <cp:revision>2</cp:revision>
  <dcterms:created xsi:type="dcterms:W3CDTF">2026-07-02T18:01:00Z</dcterms:created>
  <dcterms:modified xsi:type="dcterms:W3CDTF">2026-07-02T18:02:00Z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etDate">
    <vt:lpwstr>2026-07-02T18:02:10Z</vt:lpwstr>
  </property>
  <property fmtid="{D5CDD505-2E9C-101B-9397-08002B2CF9AE}" pid="4" name="MSIP_Label_0ee3c538-ec52-435f-ae58-017644bd9513_Method">
    <vt:lpwstr>Standard</vt:lpwstr>
  </property>
  <property fmtid="{D5CDD505-2E9C-101B-9397-08002B2CF9AE}" pid="5" name="MSIP_Label_0ee3c538-ec52-435f-ae58-017644bd9513_Name">
    <vt:lpwstr>0ee3c538-ec52-435f-ae58-017644bd9513</vt:lpwstr>
  </property>
  <property fmtid="{D5CDD505-2E9C-101B-9397-08002B2CF9AE}" pid="6" name="MSIP_Label_0ee3c538-ec52-435f-ae58-017644bd9513_SiteId">
    <vt:lpwstr>0cdcb198-8169-4b70-ba9f-da7e3ba700c2</vt:lpwstr>
  </property>
  <property fmtid="{D5CDD505-2E9C-101B-9397-08002B2CF9AE}" pid="7" name="MSIP_Label_0ee3c538-ec52-435f-ae58-017644bd9513_ActionId">
    <vt:lpwstr>a808c320-7fd5-4bf1-954f-3a33a700f50a</vt:lpwstr>
  </property>
  <property fmtid="{D5CDD505-2E9C-101B-9397-08002B2CF9AE}" pid="8" name="MSIP_Label_0ee3c538-ec52-435f-ae58-017644bd9513_ContentBits">
    <vt:lpwstr>0</vt:lpwstr>
  </property>
  <property fmtid="{D5CDD505-2E9C-101B-9397-08002B2CF9AE}" pid="9" name="MSIP_Label_0ee3c538-ec52-435f-ae58-017644bd9513_Tag">
    <vt:lpwstr>10, 3, 0, 1</vt:lpwstr>
  </property>
</Properties>
</file>