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left="0" w:right="0" w:hanging="0"/>
        <w:jc w:val="left"/>
        <w:rPr>
          <w:rFonts w:ascii="TimesNewRomanPS-BoldMT" w:hAnsi="TimesNewRomanPS-BoldMT" w:eastAsia="TimesNewRomanPS-BoldMT" w:cs="TimesNewRomanPS-BoldMT"/>
          <w:b/>
          <w:b/>
          <w:bCs/>
          <w:color w:val="000000"/>
          <w:sz w:val="24"/>
          <w:szCs w:val="24"/>
        </w:rPr>
      </w:pPr>
      <w:r>
        <w:rPr>
          <w:rFonts w:eastAsia="TimesNewRomanPS-BoldMT" w:cs="TimesNewRomanPS-BoldMT" w:ascii="TimesNewRomanPS-BoldMT" w:hAnsi="TimesNewRomanPS-BoldMT"/>
          <w:b/>
          <w:bCs/>
          <w:color w:val="000000"/>
          <w:sz w:val="24"/>
          <w:szCs w:val="24"/>
        </w:rPr>
        <w:t>Civil Rights Activists – Resource Page</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TimesNewRomanPS-BoldMT" w:hAnsi="TimesNewRomanPS-BoldMT" w:eastAsia="TimesNewRomanPS-BoldMT" w:cs="TimesNewRomanPS-BoldMT"/>
          <w:b/>
          <w:b/>
          <w:bCs/>
          <w:color w:val="000000"/>
          <w:sz w:val="22"/>
          <w:szCs w:val="22"/>
        </w:rPr>
      </w:pPr>
      <w:r>
        <w:rPr>
          <w:rFonts w:eastAsia="TimesNewRomanPS-BoldMT" w:cs="TimesNewRomanPS-BoldMT" w:ascii="TimesNewRomanPS-BoldMT" w:hAnsi="TimesNewRomanPS-BoldMT"/>
          <w:b/>
          <w:bCs/>
          <w:color w:val="000000"/>
          <w:sz w:val="22"/>
          <w:szCs w:val="22"/>
        </w:rPr>
        <w:t>Maggie Lena Walker (1867-1934)</w:t>
      </w:r>
    </w:p>
    <w:p>
      <w:pPr>
        <w:pStyle w:val="Normal"/>
        <w:widowControl/>
        <w:bidi w:val="0"/>
        <w:spacing w:before="0" w:after="0"/>
        <w:ind w:left="0" w:right="0" w:hanging="0"/>
        <w:jc w:val="left"/>
        <w:rPr>
          <w:rFonts w:ascii="TimesNewRomanPSMT" w:hAnsi="TimesNewRomanPSMT" w:eastAsia="TimesNewRomanPSMT" w:cs="TimesNewRomanPSMT"/>
          <w:color w:val="000000"/>
          <w:sz w:val="22"/>
          <w:szCs w:val="22"/>
        </w:rPr>
      </w:pPr>
      <w:r>
        <w:rPr>
          <w:rFonts w:eastAsia="TimesNewRomanPSMT" w:cs="TimesNewRomanPSMT" w:ascii="TimesNewRomanPSMT" w:hAnsi="TimesNewRomanPSMT"/>
          <w:color w:val="000000"/>
          <w:sz w:val="22"/>
          <w:szCs w:val="22"/>
        </w:rPr>
        <w:t>Walker was a black businesswoman who worked to improve the business opportunities of blacks and women.  She founded a bank, department store, newspaper and other businesses that provided jobs and expanded economic opportunities for blacks and women.  She felt that it was important that one gender not be subservient to the other.  Her goal was to allow blacks to become more independent from whites through education, employment and economic resources by forming black-owned businesses.</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TimesNewRomanPS-BoldMT" w:hAnsi="TimesNewRomanPS-BoldMT" w:eastAsia="TimesNewRomanPS-BoldMT" w:cs="TimesNewRomanPS-BoldMT"/>
          <w:b/>
          <w:b/>
          <w:bCs/>
          <w:color w:val="000000"/>
          <w:sz w:val="22"/>
          <w:szCs w:val="22"/>
        </w:rPr>
      </w:pPr>
      <w:r>
        <w:rPr>
          <w:rFonts w:eastAsia="TimesNewRomanPS-BoldMT" w:cs="TimesNewRomanPS-BoldMT" w:ascii="TimesNewRomanPS-BoldMT" w:hAnsi="TimesNewRomanPS-BoldMT"/>
          <w:b/>
          <w:bCs/>
          <w:color w:val="000000"/>
          <w:sz w:val="22"/>
          <w:szCs w:val="22"/>
        </w:rPr>
        <w:t>Isaiah T. Montgomery (1847-1924)</w:t>
      </w:r>
    </w:p>
    <w:p>
      <w:pPr>
        <w:pStyle w:val="Normal"/>
        <w:widowControl/>
        <w:bidi w:val="0"/>
        <w:spacing w:before="0" w:after="0"/>
        <w:ind w:left="0" w:right="0" w:hanging="0"/>
        <w:jc w:val="left"/>
        <w:rPr>
          <w:rFonts w:ascii="TimesNewRomanPSMT" w:hAnsi="TimesNewRomanPSMT" w:eastAsia="TimesNewRomanPSMT" w:cs="TimesNewRomanPSMT"/>
          <w:color w:val="000000"/>
          <w:sz w:val="22"/>
          <w:szCs w:val="22"/>
        </w:rPr>
      </w:pPr>
      <w:r>
        <w:rPr>
          <w:rFonts w:eastAsia="TimesNewRomanPSMT" w:cs="TimesNewRomanPSMT" w:ascii="TimesNewRomanPSMT" w:hAnsi="TimesNewRomanPSMT"/>
          <w:color w:val="000000"/>
          <w:sz w:val="22"/>
          <w:szCs w:val="22"/>
        </w:rPr>
        <w:t xml:space="preserve">Montgomery, a former slave, started a colony where blacks could live, work the land, and become a self-sufficient community apart from whites in Mississippi.  His colony, Mound Bayou, became home to around 4,000 people, and included about 30,000 acres.  The community included stores, a train station, schools, a bank, and oil mill and many other businesses. Montgomery was not concerned with the disenfranchisement of blacks, as he thought they should focus on their own path, separate from whites.  </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TimesNewRomanPS-BoldMT" w:hAnsi="TimesNewRomanPS-BoldMT" w:eastAsia="TimesNewRomanPS-BoldMT" w:cs="TimesNewRomanPS-BoldMT"/>
          <w:b/>
          <w:b/>
          <w:bCs/>
          <w:color w:val="000000"/>
          <w:sz w:val="22"/>
          <w:szCs w:val="22"/>
        </w:rPr>
      </w:pPr>
      <w:r>
        <w:rPr>
          <w:rFonts w:eastAsia="TimesNewRomanPS-BoldMT" w:cs="TimesNewRomanPS-BoldMT" w:ascii="TimesNewRomanPS-BoldMT" w:hAnsi="TimesNewRomanPS-BoldMT"/>
          <w:b/>
          <w:bCs/>
          <w:color w:val="000000"/>
          <w:sz w:val="22"/>
          <w:szCs w:val="22"/>
        </w:rPr>
        <w:t>Marcus M. Garvey (1887-1940)</w:t>
      </w:r>
    </w:p>
    <w:p>
      <w:pPr>
        <w:pStyle w:val="Normal"/>
        <w:widowControl/>
        <w:bidi w:val="0"/>
        <w:spacing w:before="0" w:after="0"/>
        <w:ind w:left="0" w:right="0" w:hanging="0"/>
        <w:jc w:val="left"/>
        <w:rPr>
          <w:rFonts w:ascii="TimesNewRomanPSMT" w:hAnsi="TimesNewRomanPSMT" w:eastAsia="TimesNewRomanPSMT" w:cs="TimesNewRomanPSMT"/>
          <w:color w:val="000000"/>
          <w:sz w:val="22"/>
          <w:szCs w:val="22"/>
        </w:rPr>
      </w:pPr>
      <w:r>
        <w:rPr>
          <w:rFonts w:eastAsia="TimesNewRomanPSMT" w:cs="TimesNewRomanPSMT" w:ascii="TimesNewRomanPSMT" w:hAnsi="TimesNewRomanPSMT"/>
          <w:color w:val="000000"/>
          <w:sz w:val="22"/>
          <w:szCs w:val="22"/>
        </w:rPr>
        <w:t xml:space="preserve">Garvey was a black separatist from Jamaica.  He thought that blacks would never achieve equality in the United States and should move back to Africa.  He encouraged a passenger ship line specifically for that purpose, called the Black Star Line, which would take blacks to Ghana.  Garvey was known for his flashy uniforms and fiery speeches, and his emphasis on black pride and self-reliance. </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TimesNewRomanPS-BoldMT" w:hAnsi="TimesNewRomanPS-BoldMT" w:eastAsia="TimesNewRomanPS-BoldMT" w:cs="TimesNewRomanPS-BoldMT"/>
          <w:b/>
          <w:b/>
          <w:bCs/>
          <w:color w:val="000000"/>
          <w:sz w:val="22"/>
          <w:szCs w:val="22"/>
        </w:rPr>
      </w:pPr>
      <w:r>
        <w:rPr>
          <w:rFonts w:eastAsia="TimesNewRomanPS-BoldMT" w:cs="TimesNewRomanPS-BoldMT" w:ascii="TimesNewRomanPS-BoldMT" w:hAnsi="TimesNewRomanPS-BoldMT"/>
          <w:b/>
          <w:bCs/>
          <w:color w:val="000000"/>
          <w:sz w:val="22"/>
          <w:szCs w:val="22"/>
        </w:rPr>
        <w:t>Ida B. Wells-Barnett (1862-1931)</w:t>
      </w:r>
    </w:p>
    <w:p>
      <w:pPr>
        <w:pStyle w:val="Normal"/>
        <w:widowControl/>
        <w:bidi w:val="0"/>
        <w:spacing w:before="0" w:after="0"/>
        <w:ind w:left="0" w:right="0" w:hanging="0"/>
        <w:jc w:val="left"/>
        <w:rPr>
          <w:rFonts w:ascii="TimesNewRomanPSMT" w:hAnsi="TimesNewRomanPSMT" w:eastAsia="TimesNewRomanPSMT" w:cs="TimesNewRomanPSMT"/>
          <w:color w:val="000000"/>
          <w:sz w:val="22"/>
          <w:szCs w:val="22"/>
        </w:rPr>
      </w:pPr>
      <w:r>
        <w:rPr>
          <w:rFonts w:eastAsia="TimesNewRomanPSMT" w:cs="TimesNewRomanPSMT" w:ascii="TimesNewRomanPSMT" w:hAnsi="TimesNewRomanPSMT"/>
          <w:color w:val="000000"/>
          <w:sz w:val="22"/>
          <w:szCs w:val="22"/>
        </w:rPr>
        <w:t>Wells was an anti lynching activist who wanted to expose the horrible treatment of blacks to the world.  She spoke against the unfair treatment, social and legal challenges of blacks in the United States.  Decades before Rosa Parks became famous for refusing to give up her seat on a bus, Ida Wells refused to give up her seat on a train.  Throughout her lifetime, she wrote articles, gave speeches and traveled to expose the realities of lynching in the U.S.  She even traveled to Europe to share her ideas.  She became involved in the suffrage movement as well.</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TimesNewRomanPS-BoldMT" w:hAnsi="TimesNewRomanPS-BoldMT" w:eastAsia="TimesNewRomanPS-BoldMT" w:cs="TimesNewRomanPS-BoldMT"/>
          <w:b/>
          <w:b/>
          <w:bCs/>
          <w:color w:val="000000"/>
          <w:sz w:val="22"/>
          <w:szCs w:val="22"/>
        </w:rPr>
      </w:pPr>
      <w:r>
        <w:rPr>
          <w:rFonts w:eastAsia="TimesNewRomanPS-BoldMT" w:cs="TimesNewRomanPS-BoldMT" w:ascii="TimesNewRomanPS-BoldMT" w:hAnsi="TimesNewRomanPS-BoldMT"/>
          <w:b/>
          <w:bCs/>
          <w:color w:val="000000"/>
          <w:sz w:val="22"/>
          <w:szCs w:val="22"/>
        </w:rPr>
        <w:t>Booker T. Washington (1856-1915)</w:t>
      </w:r>
    </w:p>
    <w:p>
      <w:pPr>
        <w:pStyle w:val="Normal"/>
        <w:widowControl/>
        <w:bidi w:val="0"/>
        <w:spacing w:before="0" w:after="0"/>
        <w:ind w:left="0" w:right="0" w:hanging="0"/>
        <w:jc w:val="left"/>
        <w:rPr>
          <w:rFonts w:ascii="TimesNewRomanPSMT" w:hAnsi="TimesNewRomanPSMT" w:eastAsia="TimesNewRomanPSMT" w:cs="TimesNewRomanPSMT"/>
          <w:color w:val="000000"/>
          <w:sz w:val="22"/>
          <w:szCs w:val="22"/>
        </w:rPr>
      </w:pPr>
      <w:r>
        <w:rPr>
          <w:rFonts w:eastAsia="TimesNewRomanPSMT" w:cs="TimesNewRomanPSMT" w:ascii="TimesNewRomanPSMT" w:hAnsi="TimesNewRomanPSMT"/>
          <w:color w:val="000000"/>
          <w:sz w:val="22"/>
          <w:szCs w:val="22"/>
        </w:rPr>
        <w:t>Washington believed that it was important to earn the respect of whites doing whatever jobs were offered to blacks.  He believed education was important for blacks, but focused on technical education and research.  He founded Tuskegee Institute to educate black teachers, farmers, custodians, mechanics, and other skilled trades.  He accepted the blacks’ role as second-class citizens as a necessary evil for the time being.  He believed that working within the system would eventually lead to more equality, but his more immediate concern was raising money from white donors to fund schools for black students.</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TimesNewRomanPS-BoldMT" w:hAnsi="TimesNewRomanPS-BoldMT" w:eastAsia="TimesNewRomanPS-BoldMT" w:cs="TimesNewRomanPS-BoldMT"/>
          <w:b/>
          <w:b/>
          <w:bCs/>
          <w:color w:val="000000"/>
          <w:sz w:val="22"/>
          <w:szCs w:val="22"/>
        </w:rPr>
      </w:pPr>
      <w:r>
        <w:rPr>
          <w:rFonts w:eastAsia="TimesNewRomanPS-BoldMT" w:cs="TimesNewRomanPS-BoldMT" w:ascii="TimesNewRomanPS-BoldMT" w:hAnsi="TimesNewRomanPS-BoldMT"/>
          <w:b/>
          <w:bCs/>
          <w:color w:val="000000"/>
          <w:sz w:val="22"/>
          <w:szCs w:val="22"/>
        </w:rPr>
        <w:t>W.E.B. DuBois (1868-1963)</w:t>
      </w:r>
    </w:p>
    <w:p>
      <w:pPr>
        <w:pStyle w:val="Normal"/>
        <w:widowControl/>
        <w:bidi w:val="0"/>
        <w:spacing w:before="0" w:after="0"/>
        <w:ind w:left="0" w:right="0" w:hanging="0"/>
        <w:jc w:val="left"/>
        <w:rPr>
          <w:rFonts w:ascii="TimesNewRomanPSMT" w:hAnsi="TimesNewRomanPSMT" w:eastAsia="TimesNewRomanPSMT" w:cs="TimesNewRomanPSMT"/>
          <w:color w:val="000000"/>
          <w:sz w:val="22"/>
          <w:szCs w:val="22"/>
        </w:rPr>
      </w:pPr>
      <w:r>
        <w:rPr>
          <w:rFonts w:eastAsia="TimesNewRomanPSMT" w:cs="TimesNewRomanPSMT" w:ascii="TimesNewRomanPSMT" w:hAnsi="TimesNewRomanPSMT"/>
          <w:color w:val="000000"/>
          <w:sz w:val="22"/>
          <w:szCs w:val="22"/>
        </w:rPr>
        <w:t>DuBois thought it was important for a small, elite group of blacks to pursue higher education. He believed that about 1 in every 10 blacks had the ability and responsibility to become leaders of their race, and this group was called the “Talented Tenth.”  They would use their education to protest conditions of African-Americans legal and economic struggles.  He disagreed with Booker T. Washington, and encouraged blacks to speak out against oppression.  He believed that the entire black community should focus on providing opportunities for the “talented tenth” through higher education.</w:t>
      </w:r>
    </w:p>
    <w:sectPr>
      <w:footerReference w:type="default" r:id="rId2"/>
      <w:footerReference w:type="first" r:id="rId3"/>
      <w:type w:val="nextPage"/>
      <w:pgSz w:w="12240" w:h="15840"/>
      <w:pgMar w:left="1800" w:right="1800" w:gutter="0" w:header="0" w:top="1440" w:footer="1440" w:bottom="1723"/>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NewRomanPS-BoldMT">
    <w:charset w:val="00"/>
    <w:family w:val="auto"/>
    <w:pitch w:val="default"/>
  </w:font>
  <w:font w:name="TimesNewRomanPSMT">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0" w:after="0"/>
      <w:ind w:left="0" w:right="0" w:hanging="0"/>
      <w:jc w:val="righ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PIH copyright 2011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0" w:after="0"/>
      <w:ind w:left="0" w:right="0" w:hanging="0"/>
      <w:jc w:val="right"/>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PIH copyright 2011</w: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_anchor"/>
    <w:rPr>
      <w:vertAlign w:val="superscript"/>
    </w:rPr>
  </w:style>
  <w:style w:type="character" w:styleId="Endnoteanchor">
    <w:name w:val="Endnote_anchor"/>
    <w:rPr>
      <w:vertAlign w:val="superscript"/>
    </w:rPr>
  </w:style>
  <w:style w:type="character" w:styleId="FootnoteAnchor1">
    <w:name w:val="Footnote Anchor"/>
    <w:qFormat/>
    <w:rPr>
      <w:vertAlign w:val="superscript"/>
    </w:rPr>
  </w:style>
  <w:style w:type="character" w:styleId="EndnoteAnchor1">
    <w:name w:val="Endnote Anchor"/>
    <w:qFormat/>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Footnote">
    <w:name w:val="Footnote Text"/>
    <w:basedOn w:val="Normal"/>
    <w:pPr/>
    <w:rPr/>
  </w:style>
  <w:style w:type="paragraph" w:styleId="Endnote">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LibreOffice_project/e114eadc50a9ff8d8c8a0567d6da8f454beeb84f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