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Calibri-Bold" w:hAnsi="Calibri-Bold" w:eastAsia="Calibri-Bold" w:cs="Calibri-Bold"/>
          <w:b/>
          <w:b/>
          <w:bCs/>
          <w:color w:val="000000"/>
          <w:sz w:val="36"/>
          <w:szCs w:val="36"/>
        </w:rPr>
      </w:pPr>
      <w:r>
        <w:rPr>
          <w:rFonts w:eastAsia="Calibri-Bold" w:cs="Calibri-Bold" w:ascii="Calibri-Bold" w:hAnsi="Calibri-Bold"/>
          <w:b/>
          <w:bCs/>
          <w:color w:val="000000"/>
          <w:sz w:val="36"/>
          <w:szCs w:val="36"/>
        </w:rPr>
        <w:t>10 Rules of Conduct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Calibri-Bold" w:hAnsi="Calibri-Bold" w:eastAsia="Calibri-Bold" w:cs="Calibri-Bold"/>
          <w:b/>
          <w:b/>
          <w:bCs/>
          <w:color w:val="000000"/>
          <w:sz w:val="36"/>
          <w:szCs w:val="36"/>
        </w:rPr>
      </w:pPr>
      <w:r>
        <w:rPr>
          <w:rFonts w:eastAsia="Calibri-Bold" w:cs="Calibri-Bold" w:ascii="Calibri-Bold" w:hAnsi="Calibri-Bold"/>
          <w:b/>
          <w:bCs/>
          <w:color w:val="000000"/>
          <w:sz w:val="36"/>
          <w:szCs w:val="36"/>
        </w:rPr>
        <w:t>by Bernard Layfayette and John Lewis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/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Retrieved from </w:t>
      </w:r>
      <w:r>
        <w:rPr>
          <w:rFonts w:eastAsia="Calibri-Italic" w:cs="Calibri-Italic" w:ascii="Calibri-Italic" w:hAnsi="Calibri-Italic"/>
          <w:i/>
          <w:iCs/>
          <w:color w:val="000000"/>
          <w:sz w:val="24"/>
          <w:szCs w:val="24"/>
        </w:rPr>
        <w:t>Nashville Sit-ins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at http://www.historylearningsite.co.uk/nashville_sit_ins.htm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eastAsia="Calibri" w:cs="Calibri" w:ascii="Calibri" w:hAnsi="Calibri"/>
          <w:color w:val="000000"/>
          <w:sz w:val="32"/>
          <w:szCs w:val="32"/>
        </w:rPr>
        <w:t>Rules of behaviors were required for all who participated in civil rights activities. The rules stated: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eastAsia="Calibri" w:cs="Calibri" w:ascii="Calibri" w:hAnsi="Calibri"/>
          <w:color w:val="000000"/>
          <w:sz w:val="32"/>
          <w:szCs w:val="32"/>
        </w:rPr>
        <w:t>Do Not: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51" w:leader="none"/>
        </w:tabs>
        <w:bidi w:val="0"/>
        <w:spacing w:before="0" w:after="0"/>
        <w:ind w:left="751" w:right="0" w:hanging="342"/>
        <w:jc w:val="left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eastAsia="Calibri" w:cs="Calibri" w:ascii="Calibri" w:hAnsi="Calibri"/>
          <w:color w:val="000000"/>
          <w:sz w:val="32"/>
          <w:szCs w:val="32"/>
        </w:rPr>
        <w:t xml:space="preserve">Strike back nor curse if abused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51" w:leader="none"/>
        </w:tabs>
        <w:bidi w:val="0"/>
        <w:spacing w:before="0" w:after="0"/>
        <w:ind w:left="751" w:right="0" w:hanging="342"/>
        <w:jc w:val="left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eastAsia="Calibri" w:cs="Calibri" w:ascii="Calibri" w:hAnsi="Calibri"/>
          <w:color w:val="000000"/>
          <w:sz w:val="32"/>
          <w:szCs w:val="32"/>
        </w:rPr>
        <w:t xml:space="preserve">Laugh out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51" w:leader="none"/>
        </w:tabs>
        <w:bidi w:val="0"/>
        <w:spacing w:before="0" w:after="0"/>
        <w:ind w:left="751" w:right="0" w:hanging="342"/>
        <w:jc w:val="left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eastAsia="Calibri" w:cs="Calibri" w:ascii="Calibri" w:hAnsi="Calibri"/>
          <w:color w:val="000000"/>
          <w:sz w:val="32"/>
          <w:szCs w:val="32"/>
        </w:rPr>
        <w:t xml:space="preserve">Hold conversations with a floor walker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51" w:leader="none"/>
        </w:tabs>
        <w:bidi w:val="0"/>
        <w:spacing w:before="0" w:after="0"/>
        <w:ind w:left="751" w:right="0" w:hanging="342"/>
        <w:jc w:val="left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eastAsia="Calibri" w:cs="Calibri" w:ascii="Calibri" w:hAnsi="Calibri"/>
          <w:color w:val="000000"/>
          <w:sz w:val="32"/>
          <w:szCs w:val="32"/>
        </w:rPr>
        <w:t xml:space="preserve">Leave your seat until your leader has given you permission to do so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51" w:leader="none"/>
        </w:tabs>
        <w:bidi w:val="0"/>
        <w:spacing w:before="0" w:after="0"/>
        <w:ind w:left="751" w:right="0" w:hanging="342"/>
        <w:jc w:val="left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eastAsia="Calibri" w:cs="Calibri" w:ascii="Calibri" w:hAnsi="Calibri"/>
          <w:color w:val="000000"/>
          <w:sz w:val="32"/>
          <w:szCs w:val="32"/>
        </w:rPr>
        <w:t>Block entrances to stores outside nor the aisles inside</w:t>
      </w:r>
    </w:p>
    <w:p>
      <w:pPr>
        <w:pStyle w:val="Normal"/>
        <w:widowControl/>
        <w:bidi w:val="0"/>
        <w:spacing w:before="0" w:after="0"/>
        <w:ind w:left="768" w:right="0" w:hanging="0"/>
        <w:jc w:val="left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eastAsia="Calibri" w:cs="Calibri" w:ascii="Calibri" w:hAnsi="Calibri"/>
          <w:color w:val="000000"/>
          <w:sz w:val="32"/>
          <w:szCs w:val="32"/>
        </w:rPr>
        <w:t>Do: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751" w:leader="none"/>
        </w:tabs>
        <w:bidi w:val="0"/>
        <w:spacing w:before="0" w:after="0"/>
        <w:ind w:left="751" w:right="0" w:hanging="342"/>
        <w:jc w:val="left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eastAsia="Calibri" w:cs="Calibri" w:ascii="Calibri" w:hAnsi="Calibri"/>
          <w:color w:val="000000"/>
          <w:sz w:val="32"/>
          <w:szCs w:val="32"/>
        </w:rPr>
        <w:t xml:space="preserve">Show yourself friendly and courteous at all times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751" w:leader="none"/>
        </w:tabs>
        <w:bidi w:val="0"/>
        <w:spacing w:before="0" w:after="0"/>
        <w:ind w:left="751" w:right="0" w:hanging="342"/>
        <w:jc w:val="left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eastAsia="Calibri" w:cs="Calibri" w:ascii="Calibri" w:hAnsi="Calibri"/>
          <w:color w:val="000000"/>
          <w:sz w:val="32"/>
          <w:szCs w:val="32"/>
        </w:rPr>
        <w:t xml:space="preserve">Sit straight: always face the counter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751" w:leader="none"/>
        </w:tabs>
        <w:bidi w:val="0"/>
        <w:spacing w:before="0" w:after="0"/>
        <w:ind w:left="751" w:right="0" w:hanging="342"/>
        <w:jc w:val="left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eastAsia="Calibri" w:cs="Calibri" w:ascii="Calibri" w:hAnsi="Calibri"/>
          <w:color w:val="000000"/>
          <w:sz w:val="32"/>
          <w:szCs w:val="32"/>
        </w:rPr>
        <w:t xml:space="preserve">Report all serious incidents to your leader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751" w:leader="none"/>
        </w:tabs>
        <w:bidi w:val="0"/>
        <w:spacing w:before="0" w:after="0"/>
        <w:ind w:left="751" w:right="0" w:hanging="342"/>
        <w:jc w:val="left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eastAsia="Calibri" w:cs="Calibri" w:ascii="Calibri" w:hAnsi="Calibri"/>
          <w:color w:val="000000"/>
          <w:sz w:val="32"/>
          <w:szCs w:val="32"/>
        </w:rPr>
        <w:t xml:space="preserve">Refer information seekers to your leader in a polite manner </w:t>
      </w:r>
    </w:p>
    <w:p>
      <w:pPr>
        <w:pStyle w:val="Normal"/>
        <w:widowControl/>
        <w:numPr>
          <w:ilvl w:val="0"/>
          <w:numId w:val="3"/>
        </w:numPr>
        <w:tabs>
          <w:tab w:val="clear" w:pos="720"/>
          <w:tab w:val="left" w:pos="621" w:leader="none"/>
        </w:tabs>
        <w:bidi w:val="0"/>
        <w:spacing w:before="0" w:after="0"/>
        <w:ind w:left="621" w:right="0" w:hanging="351"/>
        <w:jc w:val="left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eastAsia="Calibri" w:cs="Calibri" w:ascii="Calibri" w:hAnsi="Calibri"/>
          <w:color w:val="000000"/>
          <w:sz w:val="32"/>
          <w:szCs w:val="32"/>
        </w:rPr>
        <w:t>Remember the teachings of Jesus Christ, Mahatma Ghandi and Martin Luther King. Love and non-violence is the way.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-Bold">
    <w:charset w:val="00"/>
    <w:family w:val="auto"/>
    <w:pitch w:val="default"/>
  </w:font>
  <w:font w:name="Calibri">
    <w:charset w:val="00"/>
    <w:family w:val="auto"/>
    <w:pitch w:val="default"/>
  </w:font>
  <w:font w:name="Calibri-Italic"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51"/>
        </w:tabs>
        <w:ind w:left="751" w:hanging="342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51"/>
        </w:tabs>
        <w:ind w:left="751" w:hanging="342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21"/>
        </w:tabs>
        <w:ind w:left="621" w:hanging="351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_anchor"/>
    <w:rPr>
      <w:vertAlign w:val="superscript"/>
    </w:rPr>
  </w:style>
  <w:style w:type="character" w:styleId="Endnoteanchor">
    <w:name w:val="Endnote_anchor"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character" w:styleId="NumberingSymbols">
    <w:name w:val="Numbering_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LibreOffice_project/e114eadc50a9ff8d8c8a0567d6da8f454beeb84f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