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C3F61" w14:textId="77777777" w:rsidR="004F0966" w:rsidRDefault="004F0966" w:rsidP="004F0966">
      <w:pPr>
        <w:jc w:val="center"/>
        <w:rPr>
          <w:rFonts w:ascii="Book Antiqua" w:hAnsi="Book Antiqua"/>
          <w:b/>
        </w:rPr>
      </w:pPr>
      <w:r>
        <w:rPr>
          <w:rFonts w:ascii="Book Antiqua" w:hAnsi="Book Antiqua"/>
          <w:b/>
        </w:rPr>
        <w:t>Meet the Press: Political Round Table Discussion</w:t>
      </w:r>
      <w:r>
        <w:rPr>
          <w:rFonts w:ascii="Book Antiqua" w:hAnsi="Book Antiqua"/>
          <w:b/>
        </w:rPr>
        <w:br/>
        <w:t xml:space="preserve">Is the Supreme Court the best governmental institution </w:t>
      </w:r>
    </w:p>
    <w:p w14:paraId="03C86D7E" w14:textId="77777777" w:rsidR="004F0966" w:rsidRDefault="004F0966" w:rsidP="004F0966">
      <w:pPr>
        <w:jc w:val="center"/>
        <w:rPr>
          <w:rFonts w:ascii="Book Antiqua" w:hAnsi="Book Antiqua"/>
          <w:b/>
        </w:rPr>
      </w:pPr>
      <w:proofErr w:type="gramStart"/>
      <w:r>
        <w:rPr>
          <w:rFonts w:ascii="Book Antiqua" w:hAnsi="Book Antiqua"/>
          <w:b/>
        </w:rPr>
        <w:t>to</w:t>
      </w:r>
      <w:proofErr w:type="gramEnd"/>
      <w:r>
        <w:rPr>
          <w:rFonts w:ascii="Book Antiqua" w:hAnsi="Book Antiqua"/>
          <w:b/>
        </w:rPr>
        <w:t xml:space="preserve"> decide issues of civil rights?</w:t>
      </w:r>
    </w:p>
    <w:p w14:paraId="3B1D3AFD" w14:textId="77777777" w:rsidR="004F0966" w:rsidRDefault="004F0966" w:rsidP="004F0966">
      <w:pPr>
        <w:jc w:val="center"/>
        <w:rPr>
          <w:rFonts w:ascii="Book Antiqua" w:hAnsi="Book Antiqua"/>
          <w:b/>
        </w:rPr>
      </w:pPr>
    </w:p>
    <w:p w14:paraId="6B6CC8EF" w14:textId="0617AFE6" w:rsidR="004F0966" w:rsidRDefault="004F0966" w:rsidP="004F0966">
      <w:pPr>
        <w:rPr>
          <w:rFonts w:ascii="Book Antiqua" w:hAnsi="Book Antiqua"/>
        </w:rPr>
      </w:pPr>
      <w:r>
        <w:rPr>
          <w:rFonts w:ascii="Book Antiqua" w:hAnsi="Book Antiqua"/>
        </w:rPr>
        <w:t xml:space="preserve">You have been invited to appear on the national news show </w:t>
      </w:r>
      <w:r>
        <w:rPr>
          <w:rFonts w:ascii="Book Antiqua" w:hAnsi="Book Antiqua"/>
          <w:i/>
        </w:rPr>
        <w:t>Meet the Press</w:t>
      </w:r>
      <w:r>
        <w:rPr>
          <w:rFonts w:ascii="Book Antiqua" w:hAnsi="Book Antiqua"/>
        </w:rPr>
        <w:t xml:space="preserve"> to discuss your views on the question of whether the Supreme Court is the best institution t</w:t>
      </w:r>
      <w:r w:rsidR="00B24B44">
        <w:rPr>
          <w:rFonts w:ascii="Book Antiqua" w:hAnsi="Book Antiqua"/>
        </w:rPr>
        <w:t xml:space="preserve">o decide issues of civil rights, </w:t>
      </w:r>
      <w:r w:rsidR="00F17FFB">
        <w:rPr>
          <w:rFonts w:ascii="Book Antiqua" w:hAnsi="Book Antiqua"/>
        </w:rPr>
        <w:t>examining three major cases and three minority groups</w:t>
      </w:r>
      <w:r w:rsidR="00B24B44">
        <w:rPr>
          <w:rFonts w:ascii="Book Antiqua" w:hAnsi="Book Antiqua"/>
        </w:rPr>
        <w:t xml:space="preserve">. </w:t>
      </w:r>
      <w:r>
        <w:rPr>
          <w:rFonts w:ascii="Book Antiqua" w:hAnsi="Book Antiqua"/>
        </w:rPr>
        <w:t>You will be representing a specific point of view and debating with others who agree and disagree with you. In order to prepare for your appearance, you need to become familiar with the issue and perspective you are assigned as the entire class will rely on your knowledge to learn various points of view on this important question.</w:t>
      </w:r>
    </w:p>
    <w:p w14:paraId="47656E89" w14:textId="77777777" w:rsidR="004F0966" w:rsidRDefault="004F0966" w:rsidP="004F0966">
      <w:pPr>
        <w:rPr>
          <w:rFonts w:ascii="Book Antiqua" w:hAnsi="Book Antiqua"/>
        </w:rPr>
      </w:pPr>
    </w:p>
    <w:tbl>
      <w:tblPr>
        <w:tblStyle w:val="TableGrid"/>
        <w:tblW w:w="0" w:type="auto"/>
        <w:tblLook w:val="04A0" w:firstRow="1" w:lastRow="0" w:firstColumn="1" w:lastColumn="0" w:noHBand="0" w:noVBand="1"/>
      </w:tblPr>
      <w:tblGrid>
        <w:gridCol w:w="663"/>
        <w:gridCol w:w="914"/>
        <w:gridCol w:w="3333"/>
        <w:gridCol w:w="914"/>
        <w:gridCol w:w="3752"/>
      </w:tblGrid>
      <w:tr w:rsidR="00F17FFB" w14:paraId="19EAC32E" w14:textId="77777777" w:rsidTr="00F17FFB">
        <w:tc>
          <w:tcPr>
            <w:tcW w:w="663" w:type="dxa"/>
          </w:tcPr>
          <w:p w14:paraId="527FDCE0" w14:textId="44968371" w:rsidR="00F17FFB" w:rsidRDefault="00F17FFB" w:rsidP="004F0966">
            <w:pPr>
              <w:rPr>
                <w:rFonts w:ascii="Book Antiqua" w:hAnsi="Book Antiqua"/>
              </w:rPr>
            </w:pPr>
            <w:bookmarkStart w:id="0" w:name="_GoBack"/>
            <w:bookmarkEnd w:id="0"/>
            <w:proofErr w:type="spellStart"/>
            <w:r>
              <w:rPr>
                <w:rFonts w:ascii="Book Antiqua" w:hAnsi="Book Antiqua"/>
              </w:rPr>
              <w:t>Rnd</w:t>
            </w:r>
            <w:proofErr w:type="spellEnd"/>
            <w:r>
              <w:rPr>
                <w:rFonts w:ascii="Book Antiqua" w:hAnsi="Book Antiqua"/>
              </w:rPr>
              <w:t xml:space="preserve"> 1</w:t>
            </w:r>
          </w:p>
        </w:tc>
        <w:tc>
          <w:tcPr>
            <w:tcW w:w="914" w:type="dxa"/>
          </w:tcPr>
          <w:p w14:paraId="37059E3E" w14:textId="3D4DACA7" w:rsidR="00F17FFB" w:rsidRDefault="00F17FFB" w:rsidP="004F0966">
            <w:pPr>
              <w:rPr>
                <w:rFonts w:ascii="Book Antiqua" w:hAnsi="Book Antiqua"/>
              </w:rPr>
            </w:pPr>
            <w:r>
              <w:rPr>
                <w:rFonts w:ascii="Book Antiqua" w:hAnsi="Book Antiqua"/>
              </w:rPr>
              <w:t>Group 1</w:t>
            </w:r>
          </w:p>
        </w:tc>
        <w:tc>
          <w:tcPr>
            <w:tcW w:w="3333" w:type="dxa"/>
          </w:tcPr>
          <w:p w14:paraId="6D947707" w14:textId="18279CFB" w:rsidR="00F17FFB" w:rsidRPr="00F17FFB" w:rsidRDefault="00F17FFB" w:rsidP="004F0966">
            <w:pPr>
              <w:rPr>
                <w:rFonts w:ascii="Book Antiqua" w:hAnsi="Book Antiqua"/>
              </w:rPr>
            </w:pPr>
            <w:r>
              <w:rPr>
                <w:rFonts w:ascii="Book Antiqua" w:hAnsi="Book Antiqua"/>
              </w:rPr>
              <w:t xml:space="preserve">Yes, the Supreme Court’s </w:t>
            </w:r>
            <w:r>
              <w:rPr>
                <w:rFonts w:ascii="Book Antiqua" w:hAnsi="Book Antiqua"/>
                <w:i/>
              </w:rPr>
              <w:t>Brown v. BOE</w:t>
            </w:r>
            <w:r>
              <w:rPr>
                <w:rFonts w:ascii="Book Antiqua" w:hAnsi="Book Antiqua"/>
              </w:rPr>
              <w:t xml:space="preserve"> decision played a crucial role in pushing for civil rights</w:t>
            </w:r>
          </w:p>
        </w:tc>
        <w:tc>
          <w:tcPr>
            <w:tcW w:w="914" w:type="dxa"/>
          </w:tcPr>
          <w:p w14:paraId="73A744D2" w14:textId="67E5657F" w:rsidR="00F17FFB" w:rsidRDefault="00F17FFB" w:rsidP="004F0966">
            <w:pPr>
              <w:rPr>
                <w:rFonts w:ascii="Book Antiqua" w:hAnsi="Book Antiqua"/>
              </w:rPr>
            </w:pPr>
            <w:r>
              <w:rPr>
                <w:rFonts w:ascii="Book Antiqua" w:hAnsi="Book Antiqua"/>
              </w:rPr>
              <w:t>Group 2</w:t>
            </w:r>
          </w:p>
        </w:tc>
        <w:tc>
          <w:tcPr>
            <w:tcW w:w="3752" w:type="dxa"/>
          </w:tcPr>
          <w:p w14:paraId="73082119" w14:textId="42BE177C" w:rsidR="00F17FFB" w:rsidRDefault="00F17FFB" w:rsidP="00F17FFB">
            <w:pPr>
              <w:rPr>
                <w:rFonts w:ascii="Book Antiqua" w:hAnsi="Book Antiqua"/>
              </w:rPr>
            </w:pPr>
            <w:r>
              <w:rPr>
                <w:rFonts w:ascii="Book Antiqua" w:hAnsi="Book Antiqua"/>
              </w:rPr>
              <w:t>No</w:t>
            </w:r>
            <w:r>
              <w:rPr>
                <w:rFonts w:ascii="Book Antiqua" w:hAnsi="Book Antiqua"/>
              </w:rPr>
              <w:t xml:space="preserve">, the Supreme Court’s </w:t>
            </w:r>
            <w:r>
              <w:rPr>
                <w:rFonts w:ascii="Book Antiqua" w:hAnsi="Book Antiqua"/>
                <w:i/>
              </w:rPr>
              <w:t>Brown</w:t>
            </w:r>
            <w:r>
              <w:rPr>
                <w:rFonts w:ascii="Book Antiqua" w:hAnsi="Book Antiqua"/>
                <w:i/>
              </w:rPr>
              <w:t xml:space="preserve"> v. BOE</w:t>
            </w:r>
            <w:r>
              <w:rPr>
                <w:rFonts w:ascii="Book Antiqua" w:hAnsi="Book Antiqua"/>
              </w:rPr>
              <w:t xml:space="preserve"> decision </w:t>
            </w:r>
            <w:r>
              <w:rPr>
                <w:rFonts w:ascii="Book Antiqua" w:hAnsi="Book Antiqua"/>
              </w:rPr>
              <w:t xml:space="preserve">did not </w:t>
            </w:r>
            <w:r>
              <w:rPr>
                <w:rFonts w:ascii="Book Antiqua" w:hAnsi="Book Antiqua"/>
              </w:rPr>
              <w:t>play a crucial role in pushing for civil rights</w:t>
            </w:r>
          </w:p>
        </w:tc>
      </w:tr>
      <w:tr w:rsidR="00F17FFB" w14:paraId="4BF0C359" w14:textId="77777777" w:rsidTr="00F17FFB">
        <w:tc>
          <w:tcPr>
            <w:tcW w:w="663" w:type="dxa"/>
          </w:tcPr>
          <w:p w14:paraId="2FA37F25" w14:textId="5D3D5998" w:rsidR="00F17FFB" w:rsidRDefault="00F17FFB" w:rsidP="004F0966">
            <w:pPr>
              <w:rPr>
                <w:rFonts w:ascii="Book Antiqua" w:hAnsi="Book Antiqua"/>
              </w:rPr>
            </w:pPr>
            <w:proofErr w:type="spellStart"/>
            <w:r>
              <w:rPr>
                <w:rFonts w:ascii="Book Antiqua" w:hAnsi="Book Antiqua"/>
              </w:rPr>
              <w:t>Rnd</w:t>
            </w:r>
            <w:proofErr w:type="spellEnd"/>
            <w:r>
              <w:rPr>
                <w:rFonts w:ascii="Book Antiqua" w:hAnsi="Book Antiqua"/>
              </w:rPr>
              <w:t xml:space="preserve"> 2</w:t>
            </w:r>
          </w:p>
        </w:tc>
        <w:tc>
          <w:tcPr>
            <w:tcW w:w="914" w:type="dxa"/>
          </w:tcPr>
          <w:p w14:paraId="5E4E825E" w14:textId="6B5BD6D5" w:rsidR="00F17FFB" w:rsidRPr="004256AE" w:rsidRDefault="00F17FFB" w:rsidP="004F0966">
            <w:pPr>
              <w:rPr>
                <w:rFonts w:ascii="Book Antiqua" w:hAnsi="Book Antiqua"/>
              </w:rPr>
            </w:pPr>
            <w:r>
              <w:rPr>
                <w:rFonts w:ascii="Book Antiqua" w:hAnsi="Book Antiqua"/>
              </w:rPr>
              <w:t>Group 3</w:t>
            </w:r>
          </w:p>
        </w:tc>
        <w:tc>
          <w:tcPr>
            <w:tcW w:w="3333" w:type="dxa"/>
          </w:tcPr>
          <w:p w14:paraId="04EC3501" w14:textId="55577B72" w:rsidR="00F17FFB" w:rsidRPr="00DD52DF" w:rsidRDefault="00F17FFB" w:rsidP="00F17FFB">
            <w:pPr>
              <w:rPr>
                <w:rFonts w:ascii="Book Antiqua" w:hAnsi="Book Antiqua"/>
              </w:rPr>
            </w:pPr>
            <w:r>
              <w:rPr>
                <w:rFonts w:ascii="Book Antiqua" w:hAnsi="Book Antiqua"/>
              </w:rPr>
              <w:t xml:space="preserve">Yes, the Supreme Court’s </w:t>
            </w:r>
            <w:r w:rsidRPr="00F17FFB">
              <w:rPr>
                <w:rFonts w:ascii="Book Antiqua" w:hAnsi="Book Antiqua"/>
                <w:i/>
              </w:rPr>
              <w:t>Roe v. Wade</w:t>
            </w:r>
            <w:r w:rsidRPr="00F17FFB">
              <w:rPr>
                <w:rFonts w:ascii="Book Antiqua" w:hAnsi="Book Antiqua"/>
                <w:i/>
              </w:rPr>
              <w:t xml:space="preserve"> </w:t>
            </w:r>
            <w:r>
              <w:rPr>
                <w:rFonts w:ascii="Book Antiqua" w:hAnsi="Book Antiqua"/>
              </w:rPr>
              <w:t>decision played a crucial role in pushing for civil rights</w:t>
            </w:r>
          </w:p>
        </w:tc>
        <w:tc>
          <w:tcPr>
            <w:tcW w:w="914" w:type="dxa"/>
          </w:tcPr>
          <w:p w14:paraId="74BA2D91" w14:textId="6673A961" w:rsidR="00F17FFB" w:rsidRPr="004256AE" w:rsidRDefault="00F17FFB" w:rsidP="004F0966">
            <w:pPr>
              <w:rPr>
                <w:rFonts w:ascii="Book Antiqua" w:hAnsi="Book Antiqua"/>
              </w:rPr>
            </w:pPr>
            <w:r>
              <w:rPr>
                <w:rFonts w:ascii="Book Antiqua" w:hAnsi="Book Antiqua"/>
              </w:rPr>
              <w:t>Group 4</w:t>
            </w:r>
          </w:p>
        </w:tc>
        <w:tc>
          <w:tcPr>
            <w:tcW w:w="3752" w:type="dxa"/>
          </w:tcPr>
          <w:p w14:paraId="25731B73" w14:textId="30464B25" w:rsidR="00F17FFB" w:rsidRPr="00DD52DF" w:rsidRDefault="00F17FFB" w:rsidP="004F0966">
            <w:pPr>
              <w:rPr>
                <w:rFonts w:ascii="Book Antiqua" w:hAnsi="Book Antiqua"/>
              </w:rPr>
            </w:pPr>
            <w:r w:rsidRPr="00E9145F">
              <w:rPr>
                <w:rFonts w:ascii="Book Antiqua" w:hAnsi="Book Antiqua"/>
              </w:rPr>
              <w:t xml:space="preserve">No, the Supreme Court’s </w:t>
            </w:r>
            <w:r w:rsidRPr="00F17FFB">
              <w:rPr>
                <w:rFonts w:ascii="Book Antiqua" w:hAnsi="Book Antiqua"/>
                <w:i/>
              </w:rPr>
              <w:t>Roe v. Wade</w:t>
            </w:r>
            <w:r w:rsidRPr="00E9145F">
              <w:rPr>
                <w:rFonts w:ascii="Book Antiqua" w:hAnsi="Book Antiqua"/>
              </w:rPr>
              <w:t xml:space="preserve"> </w:t>
            </w:r>
            <w:r w:rsidRPr="00E9145F">
              <w:rPr>
                <w:rFonts w:ascii="Book Antiqua" w:hAnsi="Book Antiqua"/>
              </w:rPr>
              <w:t>decision did not play a crucial role in pushing for civil rights</w:t>
            </w:r>
          </w:p>
        </w:tc>
      </w:tr>
      <w:tr w:rsidR="00F17FFB" w14:paraId="719202B5" w14:textId="77777777" w:rsidTr="00F17FFB">
        <w:tc>
          <w:tcPr>
            <w:tcW w:w="663" w:type="dxa"/>
          </w:tcPr>
          <w:p w14:paraId="059BC9B9" w14:textId="15A30A5E" w:rsidR="00F17FFB" w:rsidRPr="004256AE" w:rsidRDefault="00F17FFB" w:rsidP="004F0966">
            <w:pPr>
              <w:rPr>
                <w:rFonts w:ascii="Book Antiqua" w:hAnsi="Book Antiqua"/>
              </w:rPr>
            </w:pPr>
            <w:proofErr w:type="spellStart"/>
            <w:r>
              <w:rPr>
                <w:rFonts w:ascii="Book Antiqua" w:hAnsi="Book Antiqua"/>
              </w:rPr>
              <w:t>Rnd</w:t>
            </w:r>
            <w:proofErr w:type="spellEnd"/>
            <w:r>
              <w:rPr>
                <w:rFonts w:ascii="Book Antiqua" w:hAnsi="Book Antiqua"/>
              </w:rPr>
              <w:t xml:space="preserve"> 3</w:t>
            </w:r>
          </w:p>
        </w:tc>
        <w:tc>
          <w:tcPr>
            <w:tcW w:w="914" w:type="dxa"/>
          </w:tcPr>
          <w:p w14:paraId="6E830C7D" w14:textId="7E35CBD2" w:rsidR="00F17FFB" w:rsidRPr="004256AE" w:rsidRDefault="00F17FFB" w:rsidP="004F0966">
            <w:pPr>
              <w:rPr>
                <w:rFonts w:ascii="Book Antiqua" w:hAnsi="Book Antiqua"/>
              </w:rPr>
            </w:pPr>
            <w:r>
              <w:rPr>
                <w:rFonts w:ascii="Book Antiqua" w:hAnsi="Book Antiqua"/>
              </w:rPr>
              <w:t xml:space="preserve">Group </w:t>
            </w:r>
            <w:r w:rsidRPr="004256AE">
              <w:rPr>
                <w:rFonts w:ascii="Book Antiqua" w:hAnsi="Book Antiqua"/>
              </w:rPr>
              <w:t>5</w:t>
            </w:r>
          </w:p>
        </w:tc>
        <w:tc>
          <w:tcPr>
            <w:tcW w:w="3333" w:type="dxa"/>
          </w:tcPr>
          <w:p w14:paraId="34830B7A" w14:textId="4A11C6A3" w:rsidR="00F17FFB" w:rsidRPr="00DD52DF" w:rsidRDefault="00F17FFB" w:rsidP="00F17FFB">
            <w:pPr>
              <w:rPr>
                <w:rFonts w:ascii="Book Antiqua" w:hAnsi="Book Antiqua"/>
              </w:rPr>
            </w:pPr>
            <w:r>
              <w:rPr>
                <w:rFonts w:ascii="Book Antiqua" w:hAnsi="Book Antiqua"/>
              </w:rPr>
              <w:t xml:space="preserve">Yes, the Supreme Court’s </w:t>
            </w:r>
            <w:proofErr w:type="spellStart"/>
            <w:r>
              <w:rPr>
                <w:rFonts w:ascii="Book Antiqua" w:hAnsi="Book Antiqua"/>
                <w:i/>
              </w:rPr>
              <w:t>Obergefell</w:t>
            </w:r>
            <w:proofErr w:type="spellEnd"/>
            <w:r>
              <w:rPr>
                <w:rFonts w:ascii="Book Antiqua" w:hAnsi="Book Antiqua"/>
                <w:i/>
              </w:rPr>
              <w:t xml:space="preserve"> v. Hodges</w:t>
            </w:r>
            <w:r w:rsidRPr="00F17FFB">
              <w:rPr>
                <w:rFonts w:ascii="Book Antiqua" w:hAnsi="Book Antiqua"/>
                <w:i/>
              </w:rPr>
              <w:t xml:space="preserve"> </w:t>
            </w:r>
            <w:r>
              <w:rPr>
                <w:rFonts w:ascii="Book Antiqua" w:hAnsi="Book Antiqua"/>
              </w:rPr>
              <w:t>decision played a crucial role in pushing for civil rights</w:t>
            </w:r>
          </w:p>
        </w:tc>
        <w:tc>
          <w:tcPr>
            <w:tcW w:w="914" w:type="dxa"/>
          </w:tcPr>
          <w:p w14:paraId="225C08BC" w14:textId="70D93278" w:rsidR="00F17FFB" w:rsidRPr="004256AE" w:rsidRDefault="00F17FFB" w:rsidP="004F0966">
            <w:pPr>
              <w:rPr>
                <w:rFonts w:ascii="Book Antiqua" w:hAnsi="Book Antiqua"/>
              </w:rPr>
            </w:pPr>
            <w:r>
              <w:rPr>
                <w:rFonts w:ascii="Book Antiqua" w:hAnsi="Book Antiqua"/>
              </w:rPr>
              <w:t>Group 6</w:t>
            </w:r>
          </w:p>
        </w:tc>
        <w:tc>
          <w:tcPr>
            <w:tcW w:w="3752" w:type="dxa"/>
          </w:tcPr>
          <w:p w14:paraId="3FC7DDBA" w14:textId="56A279AF" w:rsidR="00F17FFB" w:rsidRDefault="00F17FFB" w:rsidP="004F0966">
            <w:pPr>
              <w:rPr>
                <w:rFonts w:ascii="Book Antiqua" w:hAnsi="Book Antiqua"/>
              </w:rPr>
            </w:pPr>
            <w:r w:rsidRPr="00E9145F">
              <w:rPr>
                <w:rFonts w:ascii="Book Antiqua" w:hAnsi="Book Antiqua"/>
              </w:rPr>
              <w:t xml:space="preserve">No, the Supreme Court’s </w:t>
            </w:r>
            <w:proofErr w:type="spellStart"/>
            <w:r>
              <w:rPr>
                <w:rFonts w:ascii="Book Antiqua" w:hAnsi="Book Antiqua"/>
                <w:i/>
              </w:rPr>
              <w:t>Obergefell</w:t>
            </w:r>
            <w:proofErr w:type="spellEnd"/>
            <w:r>
              <w:rPr>
                <w:rFonts w:ascii="Book Antiqua" w:hAnsi="Book Antiqua"/>
                <w:i/>
              </w:rPr>
              <w:t xml:space="preserve"> v. Hodges</w:t>
            </w:r>
            <w:r w:rsidRPr="00F17FFB">
              <w:rPr>
                <w:rFonts w:ascii="Book Antiqua" w:hAnsi="Book Antiqua"/>
                <w:i/>
              </w:rPr>
              <w:t xml:space="preserve"> </w:t>
            </w:r>
            <w:r w:rsidRPr="00E9145F">
              <w:rPr>
                <w:rFonts w:ascii="Book Antiqua" w:hAnsi="Book Antiqua"/>
              </w:rPr>
              <w:t>decision did not play a crucial role in pushing for civil rights</w:t>
            </w:r>
          </w:p>
        </w:tc>
      </w:tr>
    </w:tbl>
    <w:p w14:paraId="097EC74E" w14:textId="77777777" w:rsidR="004F0966" w:rsidRDefault="004F0966" w:rsidP="004F0966">
      <w:pPr>
        <w:rPr>
          <w:rFonts w:ascii="Book Antiqua" w:hAnsi="Book Antiqua"/>
        </w:rPr>
      </w:pPr>
    </w:p>
    <w:p w14:paraId="5FB09E07" w14:textId="77777777" w:rsidR="004F0966" w:rsidRDefault="004256AE" w:rsidP="004F0966">
      <w:pPr>
        <w:rPr>
          <w:rFonts w:ascii="Book Antiqua" w:hAnsi="Book Antiqua"/>
        </w:rPr>
      </w:pPr>
      <w:r>
        <w:rPr>
          <w:rFonts w:ascii="Book Antiqua" w:hAnsi="Book Antiqua"/>
        </w:rPr>
        <w:t>Each group will consist of five critical members with a unique responsibility:</w:t>
      </w:r>
    </w:p>
    <w:p w14:paraId="15AB5035" w14:textId="77777777" w:rsidR="004F0966" w:rsidRDefault="004F0966" w:rsidP="004F0966">
      <w:pPr>
        <w:pStyle w:val="ListParagraph"/>
        <w:numPr>
          <w:ilvl w:val="0"/>
          <w:numId w:val="1"/>
        </w:numPr>
        <w:rPr>
          <w:rFonts w:ascii="Book Antiqua" w:hAnsi="Book Antiqua"/>
        </w:rPr>
      </w:pPr>
      <w:r>
        <w:rPr>
          <w:rFonts w:ascii="Book Antiqua" w:hAnsi="Book Antiqua"/>
        </w:rPr>
        <w:t>Legal Scholar (1): Present a prepared opening statement providing the key argument and at least three reasons to support your position on the question.</w:t>
      </w:r>
    </w:p>
    <w:p w14:paraId="6830B6AD" w14:textId="77777777" w:rsidR="004F0966" w:rsidRDefault="004F0966" w:rsidP="004F0966">
      <w:pPr>
        <w:pStyle w:val="ListParagraph"/>
        <w:numPr>
          <w:ilvl w:val="0"/>
          <w:numId w:val="1"/>
        </w:numPr>
        <w:rPr>
          <w:rFonts w:ascii="Book Antiqua" w:hAnsi="Book Antiqua"/>
        </w:rPr>
      </w:pPr>
      <w:r>
        <w:rPr>
          <w:rFonts w:ascii="Book Antiqua" w:hAnsi="Book Antiqua"/>
        </w:rPr>
        <w:t>Legal Scholar (2): Present a prepared closing statement providing the key argument and at least three reasons to support your position on the question.</w:t>
      </w:r>
    </w:p>
    <w:p w14:paraId="2FDCF83F" w14:textId="77777777" w:rsidR="004F0966" w:rsidRDefault="004F0966" w:rsidP="004F0966">
      <w:pPr>
        <w:pStyle w:val="ListParagraph"/>
        <w:numPr>
          <w:ilvl w:val="0"/>
          <w:numId w:val="1"/>
        </w:numPr>
        <w:rPr>
          <w:rFonts w:ascii="Book Antiqua" w:hAnsi="Book Antiqua"/>
        </w:rPr>
      </w:pPr>
      <w:r>
        <w:rPr>
          <w:rFonts w:ascii="Book Antiqua" w:hAnsi="Book Antiqua"/>
        </w:rPr>
        <w:t>Political Pundit (3): Answer questions from opponents to defend your position.</w:t>
      </w:r>
    </w:p>
    <w:p w14:paraId="4B2C43DB" w14:textId="77777777" w:rsidR="004F0966" w:rsidRDefault="004F0966" w:rsidP="004F0966">
      <w:pPr>
        <w:pStyle w:val="ListParagraph"/>
        <w:numPr>
          <w:ilvl w:val="0"/>
          <w:numId w:val="1"/>
        </w:numPr>
        <w:rPr>
          <w:rFonts w:ascii="Book Antiqua" w:hAnsi="Book Antiqua"/>
        </w:rPr>
      </w:pPr>
      <w:r>
        <w:rPr>
          <w:rFonts w:ascii="Book Antiqua" w:hAnsi="Book Antiqua"/>
        </w:rPr>
        <w:t>Political Pundit (4): Ask questions of opponents to show weakness in their position.</w:t>
      </w:r>
    </w:p>
    <w:p w14:paraId="7C340085" w14:textId="77777777" w:rsidR="004F0966" w:rsidRDefault="004F0966" w:rsidP="004F0966">
      <w:pPr>
        <w:pStyle w:val="ListParagraph"/>
        <w:numPr>
          <w:ilvl w:val="0"/>
          <w:numId w:val="1"/>
        </w:numPr>
        <w:rPr>
          <w:rFonts w:ascii="Book Antiqua" w:hAnsi="Book Antiqua"/>
        </w:rPr>
      </w:pPr>
      <w:r>
        <w:rPr>
          <w:rFonts w:ascii="Book Antiqua" w:hAnsi="Book Antiqua"/>
        </w:rPr>
        <w:t>Graphic Artist:  Provide and explain a graphic to highlight key data and/or arguments to support your group’s position. This could be charts, statistics, political cartoon, visual metaphor, etc.</w:t>
      </w:r>
    </w:p>
    <w:p w14:paraId="7204F7F5" w14:textId="77777777" w:rsidR="004F0966" w:rsidRDefault="004F0966" w:rsidP="008D5445">
      <w:pPr>
        <w:rPr>
          <w:rFonts w:ascii="Book Antiqua" w:hAnsi="Book Antiqua"/>
        </w:rPr>
      </w:pPr>
    </w:p>
    <w:p w14:paraId="54B20278" w14:textId="55C3B5B6" w:rsidR="004256AE" w:rsidRPr="008D5445" w:rsidRDefault="004256AE" w:rsidP="008D5445">
      <w:pPr>
        <w:rPr>
          <w:rFonts w:ascii="Book Antiqua" w:hAnsi="Book Antiqua"/>
        </w:rPr>
      </w:pPr>
      <w:r>
        <w:rPr>
          <w:rFonts w:ascii="Book Antiqua" w:hAnsi="Book Antiqua"/>
        </w:rPr>
        <w:t>In each round, the two perspectives will sit at the table with the moderator. For example, group 1 will debate group 2 in round #1. The Legal Scholar will present their opening statement followed by the pundits asking questions to their opposing group. The pundits and graphic artists will collaborate about when the graphic artist strategically reveal their visual aid to bolster their defense against criticisms the group is receiving. The moderator will eventually call for the Legal Scholar to present the closing statement before going to commercial break. After a commercial break, the next round will begin.</w:t>
      </w:r>
    </w:p>
    <w:sectPr w:rsidR="004256AE" w:rsidRPr="008D5445" w:rsidSect="009E7652">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AA86D" w14:textId="77777777" w:rsidR="00671A7C" w:rsidRDefault="00671A7C" w:rsidP="00671A7C">
      <w:r>
        <w:separator/>
      </w:r>
    </w:p>
  </w:endnote>
  <w:endnote w:type="continuationSeparator" w:id="0">
    <w:p w14:paraId="18D09AB9" w14:textId="77777777" w:rsidR="00671A7C" w:rsidRDefault="00671A7C" w:rsidP="0067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9569A" w14:textId="77777777" w:rsidR="00671A7C" w:rsidRDefault="00671A7C">
    <w:pPr>
      <w:pStyle w:val="Footer"/>
    </w:pPr>
    <w:r>
      <w:t>© PIH Network 2015.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8F82" w14:textId="77777777" w:rsidR="00671A7C" w:rsidRDefault="00671A7C" w:rsidP="00671A7C">
      <w:r>
        <w:separator/>
      </w:r>
    </w:p>
  </w:footnote>
  <w:footnote w:type="continuationSeparator" w:id="0">
    <w:p w14:paraId="1ABE87EB" w14:textId="77777777" w:rsidR="00671A7C" w:rsidRDefault="00671A7C" w:rsidP="00671A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9A1"/>
    <w:multiLevelType w:val="hybridMultilevel"/>
    <w:tmpl w:val="CE2E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42EAF"/>
    <w:multiLevelType w:val="hybridMultilevel"/>
    <w:tmpl w:val="6CE4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66"/>
    <w:rsid w:val="002615A8"/>
    <w:rsid w:val="004256AE"/>
    <w:rsid w:val="004816C7"/>
    <w:rsid w:val="004F0966"/>
    <w:rsid w:val="006003F2"/>
    <w:rsid w:val="00671A7C"/>
    <w:rsid w:val="008D5445"/>
    <w:rsid w:val="009E7652"/>
    <w:rsid w:val="00B24B44"/>
    <w:rsid w:val="00DD52DF"/>
    <w:rsid w:val="00F17F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D53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ListParagraph">
    <w:name w:val="List Paragraph"/>
    <w:basedOn w:val="Normal"/>
    <w:uiPriority w:val="34"/>
    <w:qFormat/>
    <w:rsid w:val="004F0966"/>
    <w:pPr>
      <w:ind w:left="720"/>
      <w:contextualSpacing/>
    </w:pPr>
  </w:style>
  <w:style w:type="table" w:styleId="TableGrid">
    <w:name w:val="Table Grid"/>
    <w:basedOn w:val="TableNormal"/>
    <w:uiPriority w:val="59"/>
    <w:rsid w:val="00B24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1A7C"/>
    <w:pPr>
      <w:tabs>
        <w:tab w:val="center" w:pos="4320"/>
        <w:tab w:val="right" w:pos="8640"/>
      </w:tabs>
    </w:pPr>
  </w:style>
  <w:style w:type="character" w:customStyle="1" w:styleId="HeaderChar">
    <w:name w:val="Header Char"/>
    <w:basedOn w:val="DefaultParagraphFont"/>
    <w:link w:val="Header"/>
    <w:uiPriority w:val="99"/>
    <w:rsid w:val="00671A7C"/>
  </w:style>
  <w:style w:type="paragraph" w:styleId="Footer">
    <w:name w:val="footer"/>
    <w:basedOn w:val="Normal"/>
    <w:link w:val="FooterChar"/>
    <w:uiPriority w:val="99"/>
    <w:unhideWhenUsed/>
    <w:rsid w:val="00671A7C"/>
    <w:pPr>
      <w:tabs>
        <w:tab w:val="center" w:pos="4320"/>
        <w:tab w:val="right" w:pos="8640"/>
      </w:tabs>
    </w:pPr>
  </w:style>
  <w:style w:type="character" w:customStyle="1" w:styleId="FooterChar">
    <w:name w:val="Footer Char"/>
    <w:basedOn w:val="DefaultParagraphFont"/>
    <w:link w:val="Footer"/>
    <w:uiPriority w:val="99"/>
    <w:rsid w:val="0067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ListParagraph">
    <w:name w:val="List Paragraph"/>
    <w:basedOn w:val="Normal"/>
    <w:uiPriority w:val="34"/>
    <w:qFormat/>
    <w:rsid w:val="004F0966"/>
    <w:pPr>
      <w:ind w:left="720"/>
      <w:contextualSpacing/>
    </w:pPr>
  </w:style>
  <w:style w:type="table" w:styleId="TableGrid">
    <w:name w:val="Table Grid"/>
    <w:basedOn w:val="TableNormal"/>
    <w:uiPriority w:val="59"/>
    <w:rsid w:val="00B24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1A7C"/>
    <w:pPr>
      <w:tabs>
        <w:tab w:val="center" w:pos="4320"/>
        <w:tab w:val="right" w:pos="8640"/>
      </w:tabs>
    </w:pPr>
  </w:style>
  <w:style w:type="character" w:customStyle="1" w:styleId="HeaderChar">
    <w:name w:val="Header Char"/>
    <w:basedOn w:val="DefaultParagraphFont"/>
    <w:link w:val="Header"/>
    <w:uiPriority w:val="99"/>
    <w:rsid w:val="00671A7C"/>
  </w:style>
  <w:style w:type="paragraph" w:styleId="Footer">
    <w:name w:val="footer"/>
    <w:basedOn w:val="Normal"/>
    <w:link w:val="FooterChar"/>
    <w:uiPriority w:val="99"/>
    <w:unhideWhenUsed/>
    <w:rsid w:val="00671A7C"/>
    <w:pPr>
      <w:tabs>
        <w:tab w:val="center" w:pos="4320"/>
        <w:tab w:val="right" w:pos="8640"/>
      </w:tabs>
    </w:pPr>
  </w:style>
  <w:style w:type="character" w:customStyle="1" w:styleId="FooterChar">
    <w:name w:val="Footer Char"/>
    <w:basedOn w:val="DefaultParagraphFont"/>
    <w:link w:val="Footer"/>
    <w:uiPriority w:val="99"/>
    <w:rsid w:val="0067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2354</Characters>
  <Application>Microsoft Macintosh Word</Application>
  <DocSecurity>0</DocSecurity>
  <Lines>19</Lines>
  <Paragraphs>5</Paragraphs>
  <ScaleCrop>false</ScaleCrop>
  <Company>Auburn University College of Education</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Kohlmeier</dc:creator>
  <cp:keywords/>
  <dc:description/>
  <cp:lastModifiedBy>Jada Kohlmeier</cp:lastModifiedBy>
  <cp:revision>2</cp:revision>
  <dcterms:created xsi:type="dcterms:W3CDTF">2016-04-18T18:58:00Z</dcterms:created>
  <dcterms:modified xsi:type="dcterms:W3CDTF">2016-04-18T18:58:00Z</dcterms:modified>
</cp:coreProperties>
</file>