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46A1" w14:textId="77777777" w:rsidR="00DA5FDF" w:rsidRPr="000F2421" w:rsidRDefault="00DA5FDF" w:rsidP="00DA5FDF">
      <w:pPr>
        <w:jc w:val="center"/>
        <w:rPr>
          <w:rFonts w:ascii="Garamond" w:hAnsi="Garamond" w:cs="Times New Roman"/>
          <w:b/>
        </w:rPr>
      </w:pPr>
      <w:r w:rsidRPr="000F2421">
        <w:rPr>
          <w:rFonts w:ascii="Garamond" w:hAnsi="Garamond" w:cs="Times New Roman"/>
          <w:b/>
        </w:rPr>
        <w:t>Arguments for Obama’s Executive Order</w:t>
      </w:r>
    </w:p>
    <w:p w14:paraId="16B67871" w14:textId="77777777" w:rsidR="00DA5FDF" w:rsidRPr="000F2421" w:rsidRDefault="00DA5FDF" w:rsidP="00DA5FDF">
      <w:pPr>
        <w:jc w:val="center"/>
        <w:rPr>
          <w:rFonts w:ascii="Garamond" w:hAnsi="Garamond" w:cs="Times New Roman"/>
          <w:b/>
        </w:rPr>
      </w:pPr>
      <w:r w:rsidRPr="000F2421">
        <w:rPr>
          <w:rFonts w:ascii="Garamond" w:hAnsi="Garamond" w:cs="Times New Roman"/>
          <w:b/>
        </w:rPr>
        <w:t>Deferred Action for Parental Authority (DAPA)</w:t>
      </w:r>
    </w:p>
    <w:p w14:paraId="71373488" w14:textId="77777777" w:rsidR="003344FC" w:rsidRPr="000F2421" w:rsidRDefault="00DA5FDF" w:rsidP="00DA5FDF">
      <w:pPr>
        <w:jc w:val="center"/>
        <w:rPr>
          <w:rFonts w:ascii="Garamond" w:hAnsi="Garamond" w:cs="Times New Roman"/>
          <w:b/>
        </w:rPr>
      </w:pPr>
      <w:r w:rsidRPr="000F2421">
        <w:rPr>
          <w:rFonts w:ascii="Garamond" w:hAnsi="Garamond" w:cs="Times New Roman"/>
          <w:b/>
        </w:rPr>
        <w:t>Deferred Action for Childhood Arrivals (DACA)</w:t>
      </w:r>
    </w:p>
    <w:p w14:paraId="6DE7290F" w14:textId="77777777" w:rsidR="00DA5FDF" w:rsidRPr="00DA5FDF" w:rsidRDefault="00DA5FDF">
      <w:pPr>
        <w:rPr>
          <w:rFonts w:ascii="Garamond" w:hAnsi="Garamond" w:cs="Times New Roman"/>
        </w:rPr>
      </w:pPr>
    </w:p>
    <w:p w14:paraId="581F14C4" w14:textId="231BFD4A" w:rsidR="00DA5FDF" w:rsidRPr="00DA5FDF" w:rsidRDefault="00DA5FDF">
      <w:pPr>
        <w:rPr>
          <w:rFonts w:ascii="Garamond" w:hAnsi="Garamond" w:cs="Times New Roman"/>
        </w:rPr>
      </w:pPr>
      <w:r w:rsidRPr="00DA5FDF">
        <w:rPr>
          <w:rFonts w:ascii="Garamond" w:hAnsi="Garamond" w:cs="Times New Roman"/>
        </w:rPr>
        <w:t xml:space="preserve">DAPA and DACA were a set of instructions from the Department of Homeland Security, which is under the executive branch, to </w:t>
      </w:r>
      <w:r w:rsidR="004D7739">
        <w:rPr>
          <w:rFonts w:ascii="Garamond" w:hAnsi="Garamond" w:cs="Times New Roman"/>
        </w:rPr>
        <w:t>guide</w:t>
      </w:r>
      <w:r w:rsidRPr="00DA5FDF">
        <w:rPr>
          <w:rFonts w:ascii="Garamond" w:hAnsi="Garamond" w:cs="Times New Roman"/>
        </w:rPr>
        <w:t xml:space="preserve"> officials in deciding which illegal immigrants should receive top priority for deportation. They explained the priorities should be national security, border security, and public safety. Officials should focus on violent criminals instead of parents or children who were law abiding and working.</w:t>
      </w:r>
    </w:p>
    <w:p w14:paraId="3B6C87D5" w14:textId="77777777" w:rsidR="00DA5FDF" w:rsidRPr="00DA5FDF" w:rsidRDefault="00DA5FDF">
      <w:pPr>
        <w:rPr>
          <w:rFonts w:ascii="Garamond" w:hAnsi="Garamond" w:cs="Times New Roman"/>
        </w:rPr>
      </w:pPr>
    </w:p>
    <w:p w14:paraId="4DA3CE0B" w14:textId="5F20BF7A" w:rsidR="00DA5FDF" w:rsidRPr="00DA5FDF" w:rsidRDefault="004D7739">
      <w:pPr>
        <w:rPr>
          <w:rFonts w:ascii="Garamond" w:hAnsi="Garamond" w:cs="Times New Roman"/>
        </w:rPr>
      </w:pPr>
      <w:r>
        <w:rPr>
          <w:rFonts w:ascii="Garamond" w:hAnsi="Garamond" w:cs="Times New Roman"/>
        </w:rPr>
        <w:t>The case before the Supreme C</w:t>
      </w:r>
      <w:r w:rsidR="00DA5FDF" w:rsidRPr="00DA5FDF">
        <w:rPr>
          <w:rFonts w:ascii="Garamond" w:hAnsi="Garamond" w:cs="Times New Roman"/>
        </w:rPr>
        <w:t>ourt is asking whether President Obama had the authority to do this. The answer is clearly yes for two constitutional reasons: (1) Congress gives the executive branch discretion in deciding how to implement a law and (2) the order did not create a new law.</w:t>
      </w:r>
    </w:p>
    <w:p w14:paraId="202469C5" w14:textId="77777777" w:rsidR="00DA5FDF" w:rsidRPr="00DA5FDF" w:rsidRDefault="00DA5FDF">
      <w:pPr>
        <w:rPr>
          <w:rFonts w:ascii="Garamond" w:hAnsi="Garamond" w:cs="Times New Roman"/>
        </w:rPr>
      </w:pPr>
    </w:p>
    <w:p w14:paraId="065E9679" w14:textId="2AA9E5A0" w:rsidR="004D7739" w:rsidRPr="004D7739" w:rsidRDefault="004D7739">
      <w:pPr>
        <w:rPr>
          <w:rFonts w:ascii="Garamond" w:hAnsi="Garamond" w:cs="Times New Roman"/>
          <w:b/>
        </w:rPr>
      </w:pPr>
      <w:r w:rsidRPr="004D7739">
        <w:rPr>
          <w:rFonts w:ascii="Garamond" w:hAnsi="Garamond" w:cs="Times New Roman"/>
          <w:b/>
        </w:rPr>
        <w:t>Congress gives the executive branch discretion in implementing laws</w:t>
      </w:r>
    </w:p>
    <w:p w14:paraId="52DB069D" w14:textId="77777777" w:rsidR="004D7739" w:rsidRDefault="004D7739">
      <w:pPr>
        <w:rPr>
          <w:rFonts w:ascii="Garamond" w:hAnsi="Garamond" w:cs="Times New Roman"/>
        </w:rPr>
      </w:pPr>
    </w:p>
    <w:p w14:paraId="2FFA6204" w14:textId="303ED7F1" w:rsidR="00DA5FDF" w:rsidRDefault="00DA5FDF">
      <w:pPr>
        <w:rPr>
          <w:rFonts w:ascii="Garamond" w:hAnsi="Garamond" w:cs="Times New Roman"/>
        </w:rPr>
      </w:pPr>
      <w:r w:rsidRPr="00DA5FDF">
        <w:rPr>
          <w:rFonts w:ascii="Garamond" w:hAnsi="Garamond" w:cs="Times New Roman"/>
        </w:rPr>
        <w:t xml:space="preserve">First, </w:t>
      </w:r>
      <w:r>
        <w:rPr>
          <w:rFonts w:ascii="Garamond" w:hAnsi="Garamond" w:cs="Times New Roman"/>
        </w:rPr>
        <w:t>b</w:t>
      </w:r>
      <w:r w:rsidRPr="0042465A">
        <w:rPr>
          <w:rFonts w:ascii="Garamond" w:hAnsi="Garamond" w:cs="Times New Roman"/>
        </w:rPr>
        <w:t>y setting these priorities and providing guidance regarding how those priorities should be implemented, the Obama administration was simply doing what presidents of both parties have done for decades – exercising the substantial discretion</w:t>
      </w:r>
      <w:r w:rsidR="004D7739">
        <w:rPr>
          <w:rStyle w:val="FootnoteReference"/>
          <w:rFonts w:ascii="Garamond" w:hAnsi="Garamond" w:cs="Times New Roman"/>
        </w:rPr>
        <w:footnoteReference w:id="1"/>
      </w:r>
      <w:r w:rsidRPr="0042465A">
        <w:rPr>
          <w:rFonts w:ascii="Garamond" w:hAnsi="Garamond" w:cs="Times New Roman"/>
        </w:rPr>
        <w:t xml:space="preserve"> Congress has </w:t>
      </w:r>
      <w:r>
        <w:rPr>
          <w:rFonts w:ascii="Garamond" w:hAnsi="Garamond" w:cs="Times New Roman"/>
        </w:rPr>
        <w:t>given</w:t>
      </w:r>
      <w:r w:rsidRPr="0042465A">
        <w:rPr>
          <w:rFonts w:ascii="Garamond" w:hAnsi="Garamond" w:cs="Times New Roman"/>
        </w:rPr>
        <w:t xml:space="preserve"> the executi</w:t>
      </w:r>
      <w:r>
        <w:rPr>
          <w:rFonts w:ascii="Garamond" w:hAnsi="Garamond" w:cs="Times New Roman"/>
        </w:rPr>
        <w:t xml:space="preserve">ve branch to make </w:t>
      </w:r>
      <w:r w:rsidR="004D7739">
        <w:rPr>
          <w:rFonts w:ascii="Garamond" w:hAnsi="Garamond" w:cs="Times New Roman"/>
        </w:rPr>
        <w:t>decide</w:t>
      </w:r>
      <w:r w:rsidRPr="0042465A">
        <w:rPr>
          <w:rFonts w:ascii="Garamond" w:hAnsi="Garamond" w:cs="Times New Roman"/>
        </w:rPr>
        <w:t xml:space="preserve"> how best to enforce the nation’s immigration laws. Moreover, the tool the administration was using to implement those priorities – deferred</w:t>
      </w:r>
      <w:r>
        <w:rPr>
          <w:rStyle w:val="FootnoteReference"/>
          <w:rFonts w:ascii="Garamond" w:hAnsi="Garamond" w:cs="Times New Roman"/>
        </w:rPr>
        <w:footnoteReference w:id="2"/>
      </w:r>
      <w:r w:rsidRPr="0042465A">
        <w:rPr>
          <w:rFonts w:ascii="Garamond" w:hAnsi="Garamond" w:cs="Times New Roman"/>
        </w:rPr>
        <w:t xml:space="preserve"> action on removal – is one that has been consistently employed by administrations of both parties and repeatedly endorsed by Congress on a bipartisan</w:t>
      </w:r>
      <w:r>
        <w:rPr>
          <w:rStyle w:val="FootnoteReference"/>
          <w:rFonts w:ascii="Garamond" w:hAnsi="Garamond" w:cs="Times New Roman"/>
        </w:rPr>
        <w:footnoteReference w:id="3"/>
      </w:r>
      <w:r w:rsidRPr="0042465A">
        <w:rPr>
          <w:rFonts w:ascii="Garamond" w:hAnsi="Garamond" w:cs="Times New Roman"/>
        </w:rPr>
        <w:t xml:space="preserve"> basis.</w:t>
      </w:r>
    </w:p>
    <w:p w14:paraId="338EF6D1" w14:textId="77777777" w:rsidR="00DA5FDF" w:rsidRDefault="00DA5FDF">
      <w:pPr>
        <w:rPr>
          <w:rFonts w:ascii="Garamond" w:hAnsi="Garamond" w:cs="Times New Roman"/>
        </w:rPr>
      </w:pPr>
    </w:p>
    <w:p w14:paraId="0E9F6EB8" w14:textId="2F84BF82" w:rsidR="00DA5FDF" w:rsidRDefault="00DA5FDF">
      <w:pPr>
        <w:rPr>
          <w:rFonts w:ascii="Garamond" w:hAnsi="Garamond" w:cs="Times New Roman"/>
        </w:rPr>
      </w:pPr>
      <w:r>
        <w:rPr>
          <w:rFonts w:ascii="Garamond" w:hAnsi="Garamond" w:cs="Times New Roman"/>
        </w:rPr>
        <w:t>A</w:t>
      </w:r>
      <w:r w:rsidRPr="0042465A">
        <w:rPr>
          <w:rFonts w:ascii="Garamond" w:hAnsi="Garamond" w:cs="Times New Roman"/>
        </w:rPr>
        <w:t xml:space="preserve"> bipartisan group of former members of Congress explained</w:t>
      </w:r>
      <w:r>
        <w:rPr>
          <w:rFonts w:ascii="Garamond" w:hAnsi="Garamond" w:cs="Times New Roman"/>
        </w:rPr>
        <w:t xml:space="preserve"> that</w:t>
      </w:r>
      <w:r w:rsidRPr="0042465A">
        <w:rPr>
          <w:rFonts w:ascii="Garamond" w:hAnsi="Garamond" w:cs="Times New Roman"/>
        </w:rPr>
        <w:t xml:space="preserve"> it is impossible for Congress to anticipate in advance every situation to which </w:t>
      </w:r>
      <w:r w:rsidR="004D7739">
        <w:rPr>
          <w:rFonts w:ascii="Garamond" w:hAnsi="Garamond" w:cs="Times New Roman"/>
        </w:rPr>
        <w:t>a law</w:t>
      </w:r>
      <w:r w:rsidRPr="0042465A">
        <w:rPr>
          <w:rFonts w:ascii="Garamond" w:hAnsi="Garamond" w:cs="Times New Roman"/>
        </w:rPr>
        <w:t xml:space="preserve"> must apply. That is particularly true in a context like immigration, which touches on the nation’s foreign affairs and must adapt to frequently changing conditions on the ground.</w:t>
      </w:r>
      <w:r>
        <w:rPr>
          <w:rFonts w:ascii="Garamond" w:hAnsi="Garamond" w:cs="Times New Roman"/>
        </w:rPr>
        <w:t xml:space="preserve"> </w:t>
      </w:r>
    </w:p>
    <w:p w14:paraId="15674491" w14:textId="450C8C12" w:rsidR="00DA5FDF" w:rsidRDefault="004D7739" w:rsidP="00DA5FDF">
      <w:pPr>
        <w:spacing w:before="100" w:beforeAutospacing="1" w:after="100" w:afterAutospacing="1"/>
        <w:rPr>
          <w:rFonts w:ascii="Garamond" w:hAnsi="Garamond" w:cs="Times New Roman"/>
        </w:rPr>
      </w:pPr>
      <w:r>
        <w:rPr>
          <w:rFonts w:ascii="Garamond" w:hAnsi="Garamond" w:cs="Times New Roman"/>
        </w:rPr>
        <w:t>This</w:t>
      </w:r>
      <w:r w:rsidR="00DA5FDF" w:rsidRPr="0042465A">
        <w:rPr>
          <w:rFonts w:ascii="Garamond" w:hAnsi="Garamond" w:cs="Times New Roman"/>
        </w:rPr>
        <w:t xml:space="preserve"> discretion is essential in the immigration context because Congress</w:t>
      </w:r>
      <w:r w:rsidR="00DA5FDF">
        <w:rPr>
          <w:rFonts w:ascii="Garamond" w:hAnsi="Garamond" w:cs="Times New Roman"/>
        </w:rPr>
        <w:t xml:space="preserve">’ laws have made millions of people deportable, but has never required every </w:t>
      </w:r>
      <w:r w:rsidR="00DA5FDF" w:rsidRPr="0042465A">
        <w:rPr>
          <w:rFonts w:ascii="Garamond" w:hAnsi="Garamond" w:cs="Times New Roman"/>
        </w:rPr>
        <w:t xml:space="preserve">single undocumented immigrant be removed. Further, and perhaps more important, Congress hasn’t </w:t>
      </w:r>
      <w:r w:rsidR="00DA5FDF">
        <w:rPr>
          <w:rFonts w:ascii="Garamond" w:hAnsi="Garamond" w:cs="Times New Roman"/>
        </w:rPr>
        <w:t>made available</w:t>
      </w:r>
      <w:r w:rsidR="00DA5FDF" w:rsidRPr="0042465A">
        <w:rPr>
          <w:rFonts w:ascii="Garamond" w:hAnsi="Garamond" w:cs="Times New Roman"/>
        </w:rPr>
        <w:t xml:space="preserve"> the funds that would be necessary to </w:t>
      </w:r>
      <w:r w:rsidR="00DA5FDF">
        <w:rPr>
          <w:rFonts w:ascii="Garamond" w:hAnsi="Garamond" w:cs="Times New Roman"/>
        </w:rPr>
        <w:t>execute</w:t>
      </w:r>
      <w:r w:rsidR="00DA5FDF" w:rsidRPr="0042465A">
        <w:rPr>
          <w:rFonts w:ascii="Garamond" w:hAnsi="Garamond" w:cs="Times New Roman"/>
        </w:rPr>
        <w:t xml:space="preserve"> such a mass removal. Currently, there are roughly eleven million undocumented immigrants, but Congress has </w:t>
      </w:r>
      <w:r>
        <w:rPr>
          <w:rFonts w:ascii="Garamond" w:hAnsi="Garamond" w:cs="Times New Roman"/>
        </w:rPr>
        <w:t>designated</w:t>
      </w:r>
      <w:r w:rsidR="00DA5FDF" w:rsidRPr="0042465A">
        <w:rPr>
          <w:rFonts w:ascii="Garamond" w:hAnsi="Garamond" w:cs="Times New Roman"/>
        </w:rPr>
        <w:t xml:space="preserve"> funds sufficient to deport only 400,000 per year. The executive branch thus has no choice but to exercise the</w:t>
      </w:r>
      <w:r>
        <w:rPr>
          <w:rFonts w:ascii="Garamond" w:hAnsi="Garamond" w:cs="Times New Roman"/>
        </w:rPr>
        <w:t>ir</w:t>
      </w:r>
      <w:r w:rsidR="00DA5FDF" w:rsidRPr="0042465A">
        <w:rPr>
          <w:rFonts w:ascii="Garamond" w:hAnsi="Garamond" w:cs="Times New Roman"/>
        </w:rPr>
        <w:t xml:space="preserve"> discretion</w:t>
      </w:r>
      <w:r w:rsidR="00DA5FDF">
        <w:rPr>
          <w:rFonts w:ascii="Garamond" w:hAnsi="Garamond" w:cs="Times New Roman"/>
        </w:rPr>
        <w:t xml:space="preserve"> because</w:t>
      </w:r>
      <w:r w:rsidR="00DA5FDF" w:rsidRPr="0042465A">
        <w:rPr>
          <w:rFonts w:ascii="Garamond" w:hAnsi="Garamond" w:cs="Times New Roman"/>
        </w:rPr>
        <w:t xml:space="preserve"> Congress </w:t>
      </w:r>
      <w:r>
        <w:rPr>
          <w:rFonts w:ascii="Garamond" w:hAnsi="Garamond" w:cs="Times New Roman"/>
        </w:rPr>
        <w:t>expects the executive branch to</w:t>
      </w:r>
      <w:r w:rsidR="00DA5FDF" w:rsidRPr="0042465A">
        <w:rPr>
          <w:rFonts w:ascii="Garamond" w:hAnsi="Garamond" w:cs="Times New Roman"/>
        </w:rPr>
        <w:t xml:space="preserve"> determin</w:t>
      </w:r>
      <w:r>
        <w:rPr>
          <w:rFonts w:ascii="Garamond" w:hAnsi="Garamond" w:cs="Times New Roman"/>
        </w:rPr>
        <w:t>e</w:t>
      </w:r>
      <w:r w:rsidR="00DA5FDF" w:rsidRPr="0042465A">
        <w:rPr>
          <w:rFonts w:ascii="Garamond" w:hAnsi="Garamond" w:cs="Times New Roman"/>
        </w:rPr>
        <w:t xml:space="preserve"> how best to </w:t>
      </w:r>
      <w:r w:rsidR="00DA5FDF">
        <w:rPr>
          <w:rFonts w:ascii="Garamond" w:hAnsi="Garamond" w:cs="Times New Roman"/>
        </w:rPr>
        <w:t>use</w:t>
      </w:r>
      <w:r w:rsidR="00DA5FDF" w:rsidRPr="0042465A">
        <w:rPr>
          <w:rFonts w:ascii="Garamond" w:hAnsi="Garamond" w:cs="Times New Roman"/>
        </w:rPr>
        <w:t xml:space="preserve"> those limited funds.</w:t>
      </w:r>
    </w:p>
    <w:p w14:paraId="2764C95C" w14:textId="608D89EA" w:rsidR="00F93454" w:rsidRPr="00F93454" w:rsidRDefault="00F93454" w:rsidP="00DA5FDF">
      <w:pPr>
        <w:spacing w:before="100" w:beforeAutospacing="1" w:after="100" w:afterAutospacing="1"/>
        <w:rPr>
          <w:rFonts w:ascii="Garamond" w:hAnsi="Garamond" w:cs="Times New Roman"/>
          <w:b/>
        </w:rPr>
      </w:pPr>
      <w:r>
        <w:rPr>
          <w:rFonts w:ascii="Garamond" w:hAnsi="Garamond" w:cs="Times New Roman"/>
          <w:b/>
        </w:rPr>
        <w:t>Did President Obama write a law?</w:t>
      </w:r>
    </w:p>
    <w:p w14:paraId="35BE193C" w14:textId="1DDE9AC3" w:rsidR="00DA5FDF" w:rsidRDefault="00DA5FDF" w:rsidP="00DA5FDF">
      <w:pPr>
        <w:spacing w:before="100" w:beforeAutospacing="1" w:after="100" w:afterAutospacing="1"/>
        <w:rPr>
          <w:rFonts w:ascii="Garamond" w:hAnsi="Garamond" w:cs="Times New Roman"/>
        </w:rPr>
      </w:pPr>
      <w:r>
        <w:rPr>
          <w:rFonts w:ascii="Garamond" w:hAnsi="Garamond" w:cs="Times New Roman"/>
        </w:rPr>
        <w:t xml:space="preserve">The second question is whether or not the DAPA or DACA program wrote a law creating a new class of people with legal status. The answer is no. </w:t>
      </w:r>
      <w:r w:rsidRPr="00245EA5">
        <w:rPr>
          <w:rFonts w:ascii="Garamond" w:hAnsi="Garamond" w:cs="Times New Roman"/>
        </w:rPr>
        <w:t xml:space="preserve">A grant of deferred action does not </w:t>
      </w:r>
      <w:r>
        <w:rPr>
          <w:rFonts w:ascii="Garamond" w:hAnsi="Garamond" w:cs="Times New Roman"/>
        </w:rPr>
        <w:t>give</w:t>
      </w:r>
      <w:r w:rsidRPr="00245EA5">
        <w:rPr>
          <w:rFonts w:ascii="Garamond" w:hAnsi="Garamond" w:cs="Times New Roman"/>
        </w:rPr>
        <w:t xml:space="preserve"> any other type of lawful immigration status, enforceable legal rights, or an ability to remain permanently </w:t>
      </w:r>
      <w:r w:rsidRPr="00245EA5">
        <w:rPr>
          <w:rFonts w:ascii="Garamond" w:hAnsi="Garamond" w:cs="Times New Roman"/>
        </w:rPr>
        <w:lastRenderedPageBreak/>
        <w:t xml:space="preserve">in the United States. By definition, </w:t>
      </w:r>
      <w:r w:rsidR="00F93454">
        <w:rPr>
          <w:rFonts w:ascii="Garamond" w:hAnsi="Garamond" w:cs="Times New Roman"/>
        </w:rPr>
        <w:t>people benefitting from the</w:t>
      </w:r>
      <w:r w:rsidRPr="00245EA5">
        <w:rPr>
          <w:rFonts w:ascii="Garamond" w:hAnsi="Garamond" w:cs="Times New Roman"/>
        </w:rPr>
        <w:t xml:space="preserve"> expanded DACA and DAPA have </w:t>
      </w:r>
      <w:r>
        <w:rPr>
          <w:rFonts w:ascii="Garamond" w:hAnsi="Garamond" w:cs="Times New Roman"/>
        </w:rPr>
        <w:t>not maintained</w:t>
      </w:r>
      <w:r w:rsidRPr="00245EA5">
        <w:rPr>
          <w:rFonts w:ascii="Garamond" w:hAnsi="Garamond" w:cs="Times New Roman"/>
        </w:rPr>
        <w:t xml:space="preserve"> lawful status and typically would not qualify to apply for permanent residence.</w:t>
      </w:r>
    </w:p>
    <w:p w14:paraId="58DAF33A" w14:textId="77777777" w:rsidR="00DA5FDF" w:rsidRDefault="00DA5FDF" w:rsidP="00DA5FDF">
      <w:pPr>
        <w:spacing w:before="100" w:beforeAutospacing="1" w:after="100" w:afterAutospacing="1"/>
        <w:rPr>
          <w:rFonts w:ascii="Garamond" w:hAnsi="Garamond" w:cs="Times New Roman"/>
        </w:rPr>
      </w:pPr>
      <w:r>
        <w:rPr>
          <w:rFonts w:ascii="Garamond" w:hAnsi="Garamond" w:cs="Times New Roman"/>
        </w:rPr>
        <w:t xml:space="preserve">What does allow them to work legally under this program are laws passed by Congress </w:t>
      </w:r>
      <w:r w:rsidR="004726D9">
        <w:rPr>
          <w:rFonts w:ascii="Garamond" w:hAnsi="Garamond" w:cs="Times New Roman"/>
        </w:rPr>
        <w:t>in 1986. The Immigration Reform and Control Act (IRCA) states that deferred-action beneficiaries are eligible for employment authorization if they can show economic need.</w:t>
      </w:r>
    </w:p>
    <w:p w14:paraId="62B1EF81" w14:textId="495FA7F9" w:rsidR="00DA5FDF" w:rsidRPr="0042465A" w:rsidRDefault="004726D9" w:rsidP="00DA5FDF">
      <w:pPr>
        <w:spacing w:before="100" w:beforeAutospacing="1" w:after="100" w:afterAutospacing="1"/>
        <w:rPr>
          <w:rFonts w:ascii="Garamond" w:hAnsi="Garamond" w:cs="Times New Roman"/>
        </w:rPr>
      </w:pPr>
      <w:r>
        <w:rPr>
          <w:rFonts w:ascii="Garamond" w:hAnsi="Garamond" w:cs="Times New Roman"/>
        </w:rPr>
        <w:t xml:space="preserve">Granting “deferred action” is not new to President Obama. </w:t>
      </w:r>
      <w:r w:rsidR="000F2421">
        <w:rPr>
          <w:rFonts w:ascii="Garamond" w:hAnsi="Garamond" w:cs="Times New Roman"/>
        </w:rPr>
        <w:t xml:space="preserve">When IRCA left parents of children vulnerable to deportation, the </w:t>
      </w:r>
      <w:r w:rsidR="000F2421" w:rsidRPr="00245EA5">
        <w:rPr>
          <w:rFonts w:ascii="Garamond" w:hAnsi="Garamond" w:cs="Times New Roman"/>
        </w:rPr>
        <w:t>Reagan administration announced a blanket deferral of deportation for children under eighteen who were living in a two-parent household with both parents legalizing, or living with a single parent who was legalizing</w:t>
      </w:r>
      <w:r w:rsidR="000F2421">
        <w:rPr>
          <w:rFonts w:ascii="Garamond" w:hAnsi="Garamond" w:cs="Times New Roman"/>
        </w:rPr>
        <w:t>, called “Family Fairness</w:t>
      </w:r>
      <w:r w:rsidR="000F2421" w:rsidRPr="00245EA5">
        <w:rPr>
          <w:rFonts w:ascii="Garamond" w:hAnsi="Garamond" w:cs="Times New Roman"/>
        </w:rPr>
        <w:t>.</w:t>
      </w:r>
      <w:r w:rsidR="000F2421">
        <w:rPr>
          <w:rFonts w:ascii="Garamond" w:hAnsi="Garamond" w:cs="Times New Roman"/>
        </w:rPr>
        <w:t>”</w:t>
      </w:r>
      <w:r w:rsidR="000F2421" w:rsidRPr="00245EA5">
        <w:rPr>
          <w:rFonts w:ascii="Garamond" w:hAnsi="Garamond" w:cs="Times New Roman"/>
        </w:rPr>
        <w:t xml:space="preserve"> The first Bush administration expanded this program in 1990 to cover all ineligible spouses and children under eighteen of legalizing family members, assuming they met certain criteria. Publicly available estimates at the time were that “Family Fairness” could cover as many as 1.5 million family members, which was approximately forty percent of the then-undocumented population. Beneficiaries of that program were also eligible to apply for employment authorization.</w:t>
      </w:r>
      <w:r w:rsidR="00F93454">
        <w:rPr>
          <w:rFonts w:ascii="Garamond" w:hAnsi="Garamond" w:cs="Times New Roman"/>
        </w:rPr>
        <w:t xml:space="preserve"> Therefore, prior Presidents have deferred action on similar groups of people in enforcing an immigration law passed by Congress in order to set prioritie</w:t>
      </w:r>
      <w:bookmarkStart w:id="0" w:name="_GoBack"/>
      <w:bookmarkEnd w:id="0"/>
      <w:r w:rsidR="00F93454">
        <w:rPr>
          <w:rFonts w:ascii="Garamond" w:hAnsi="Garamond" w:cs="Times New Roman"/>
        </w:rPr>
        <w:t>s and spend the resources Congress gave them wisely.</w:t>
      </w:r>
    </w:p>
    <w:p w14:paraId="5F3E163B" w14:textId="0FFFD8BB" w:rsidR="00DA5FDF" w:rsidRDefault="000F2421">
      <w:pPr>
        <w:rPr>
          <w:rFonts w:ascii="Garamond" w:hAnsi="Garamond" w:cs="Times New Roman"/>
        </w:rPr>
      </w:pPr>
      <w:r>
        <w:rPr>
          <w:rFonts w:ascii="Garamond" w:hAnsi="Garamond" w:cs="Times New Roman"/>
        </w:rPr>
        <w:t>Therefore, the DAPA and DACA executive orders do not violate the Constitution because Congress</w:t>
      </w:r>
      <w:r w:rsidR="00F93454">
        <w:rPr>
          <w:rFonts w:ascii="Garamond" w:hAnsi="Garamond" w:cs="Times New Roman"/>
        </w:rPr>
        <w:t xml:space="preserve"> gives the executive branch wide</w:t>
      </w:r>
      <w:r>
        <w:rPr>
          <w:rFonts w:ascii="Garamond" w:hAnsi="Garamond" w:cs="Times New Roman"/>
        </w:rPr>
        <w:t xml:space="preserve"> discretion in deciding how to implement the nations’ laws, especially immigration laws, and the</w:t>
      </w:r>
      <w:r w:rsidRPr="00245EA5">
        <w:rPr>
          <w:rFonts w:ascii="Garamond" w:hAnsi="Garamond" w:cs="Times New Roman"/>
        </w:rPr>
        <w:t xml:space="preserve"> benefits of deferred action are authorized by </w:t>
      </w:r>
      <w:r w:rsidR="00F93454">
        <w:rPr>
          <w:rFonts w:ascii="Garamond" w:hAnsi="Garamond" w:cs="Times New Roman"/>
        </w:rPr>
        <w:t>laws</w:t>
      </w:r>
      <w:r w:rsidRPr="00245EA5">
        <w:rPr>
          <w:rFonts w:ascii="Garamond" w:hAnsi="Garamond" w:cs="Times New Roman"/>
        </w:rPr>
        <w:t xml:space="preserve"> and regulations that were </w:t>
      </w:r>
      <w:r w:rsidR="00F93454">
        <w:rPr>
          <w:rFonts w:ascii="Garamond" w:hAnsi="Garamond" w:cs="Times New Roman"/>
        </w:rPr>
        <w:t>created</w:t>
      </w:r>
      <w:r w:rsidRPr="00245EA5">
        <w:rPr>
          <w:rFonts w:ascii="Garamond" w:hAnsi="Garamond" w:cs="Times New Roman"/>
        </w:rPr>
        <w:t xml:space="preserve"> long before DAPA and expanded DACA.</w:t>
      </w:r>
      <w:r>
        <w:rPr>
          <w:rFonts w:ascii="Garamond" w:hAnsi="Garamond" w:cs="Times New Roman"/>
        </w:rPr>
        <w:t xml:space="preserve"> President Obama did not write a law or create a new class of immigrants.</w:t>
      </w:r>
    </w:p>
    <w:p w14:paraId="6BE7C4A0" w14:textId="77777777" w:rsidR="000F2421" w:rsidRDefault="000F2421">
      <w:pPr>
        <w:rPr>
          <w:rFonts w:ascii="Garamond" w:hAnsi="Garamond" w:cs="Times New Roman"/>
        </w:rPr>
      </w:pPr>
    </w:p>
    <w:p w14:paraId="356F1D3F" w14:textId="77777777" w:rsidR="000F2421" w:rsidRPr="000F2421" w:rsidRDefault="000F2421">
      <w:pPr>
        <w:rPr>
          <w:rFonts w:ascii="Garamond" w:hAnsi="Garamond" w:cs="Times New Roman"/>
        </w:rPr>
      </w:pPr>
      <w:r w:rsidRPr="000F2421">
        <w:rPr>
          <w:rFonts w:ascii="Garamond" w:hAnsi="Garamond" w:cs="Times New Roman"/>
        </w:rPr>
        <w:t>Arguments developed from briefs submitted to the Supreme Court:</w:t>
      </w:r>
    </w:p>
    <w:p w14:paraId="02C1BBC1" w14:textId="77777777" w:rsidR="000F2421" w:rsidRDefault="000F2421" w:rsidP="000F2421">
      <w:pPr>
        <w:pStyle w:val="ListParagraph"/>
        <w:numPr>
          <w:ilvl w:val="0"/>
          <w:numId w:val="1"/>
        </w:numPr>
        <w:spacing w:before="100" w:beforeAutospacing="1" w:after="100" w:afterAutospacing="1"/>
        <w:outlineLvl w:val="0"/>
        <w:rPr>
          <w:rFonts w:ascii="Garamond" w:hAnsi="Garamond" w:cs="Times New Roman"/>
          <w:iCs/>
        </w:rPr>
      </w:pPr>
      <w:r w:rsidRPr="000F2421">
        <w:rPr>
          <w:rFonts w:ascii="Garamond" w:eastAsia="Times New Roman" w:hAnsi="Garamond" w:cs="Times New Roman"/>
          <w:bCs/>
          <w:kern w:val="36"/>
        </w:rPr>
        <w:t xml:space="preserve">Symposium: Back to immigration basics – Why the DAPA/DACA case is simpler than it seems. </w:t>
      </w:r>
      <w:r w:rsidRPr="000F2421">
        <w:rPr>
          <w:rFonts w:ascii="Garamond" w:hAnsi="Garamond" w:cs="Times New Roman"/>
          <w:iCs/>
        </w:rPr>
        <w:t xml:space="preserve">Melissa Crow is Legal Director at the </w:t>
      </w:r>
      <w:hyperlink r:id="rId7" w:history="1">
        <w:r w:rsidRPr="000F2421">
          <w:rPr>
            <w:rFonts w:ascii="Garamond" w:hAnsi="Garamond" w:cs="Times New Roman"/>
            <w:iCs/>
            <w:color w:val="0000FF"/>
            <w:u w:val="single"/>
          </w:rPr>
          <w:t>American Immigration Council</w:t>
        </w:r>
      </w:hyperlink>
      <w:r w:rsidRPr="000F2421">
        <w:rPr>
          <w:rFonts w:ascii="Garamond" w:hAnsi="Garamond" w:cs="Times New Roman"/>
          <w:iCs/>
        </w:rPr>
        <w:t>.</w:t>
      </w:r>
    </w:p>
    <w:p w14:paraId="5D4C81A0" w14:textId="77777777" w:rsidR="000F2421" w:rsidRPr="000F2421" w:rsidRDefault="000F2421" w:rsidP="000F2421">
      <w:pPr>
        <w:pStyle w:val="ListParagraph"/>
        <w:numPr>
          <w:ilvl w:val="0"/>
          <w:numId w:val="1"/>
        </w:numPr>
        <w:spacing w:before="100" w:beforeAutospacing="1" w:after="100" w:afterAutospacing="1"/>
        <w:outlineLvl w:val="0"/>
        <w:rPr>
          <w:rFonts w:ascii="Garamond" w:eastAsia="Times New Roman" w:hAnsi="Garamond" w:cs="Times New Roman"/>
          <w:bCs/>
          <w:kern w:val="36"/>
        </w:rPr>
      </w:pPr>
      <w:r w:rsidRPr="000F2421">
        <w:rPr>
          <w:rFonts w:ascii="Garamond" w:eastAsia="Times New Roman" w:hAnsi="Garamond" w:cs="Times New Roman"/>
          <w:bCs/>
          <w:kern w:val="36"/>
        </w:rPr>
        <w:t>Symposium: Why it’s time to unfreeze DAPA</w:t>
      </w:r>
      <w:r>
        <w:rPr>
          <w:rFonts w:ascii="Garamond" w:eastAsia="Times New Roman" w:hAnsi="Garamond" w:cs="Times New Roman"/>
          <w:bCs/>
          <w:kern w:val="36"/>
        </w:rPr>
        <w:t xml:space="preserve">. </w:t>
      </w:r>
      <w:r w:rsidRPr="000F2421">
        <w:rPr>
          <w:rFonts w:ascii="Garamond" w:hAnsi="Garamond" w:cs="Times New Roman"/>
          <w:iCs/>
        </w:rPr>
        <w:t xml:space="preserve">Brianne </w:t>
      </w:r>
      <w:proofErr w:type="spellStart"/>
      <w:r w:rsidRPr="000F2421">
        <w:rPr>
          <w:rFonts w:ascii="Garamond" w:hAnsi="Garamond" w:cs="Times New Roman"/>
          <w:iCs/>
        </w:rPr>
        <w:t>Gorod</w:t>
      </w:r>
      <w:proofErr w:type="spellEnd"/>
      <w:r w:rsidRPr="000F2421">
        <w:rPr>
          <w:rFonts w:ascii="Garamond" w:hAnsi="Garamond" w:cs="Times New Roman"/>
          <w:iCs/>
        </w:rPr>
        <w:t xml:space="preserve"> is Chief Counsel at the Constitutional Accountability Center. She co-authored a cert.–stage </w:t>
      </w:r>
      <w:hyperlink r:id="rId8" w:history="1">
        <w:r w:rsidRPr="000F2421">
          <w:rPr>
            <w:rFonts w:ascii="Garamond" w:hAnsi="Garamond" w:cs="Times New Roman"/>
            <w:color w:val="0000FF"/>
            <w:u w:val="single"/>
          </w:rPr>
          <w:t>amicus</w:t>
        </w:r>
        <w:r w:rsidRPr="000F2421">
          <w:rPr>
            <w:rFonts w:ascii="Garamond" w:hAnsi="Garamond" w:cs="Times New Roman"/>
            <w:iCs/>
            <w:color w:val="0000FF"/>
            <w:u w:val="single"/>
          </w:rPr>
          <w:t> brief</w:t>
        </w:r>
      </w:hyperlink>
      <w:r w:rsidRPr="000F2421">
        <w:rPr>
          <w:rFonts w:ascii="Garamond" w:hAnsi="Garamond" w:cs="Times New Roman"/>
          <w:iCs/>
        </w:rPr>
        <w:t> on behalf of a bipartisan group of former members of Congress in support of the Obama administration in </w:t>
      </w:r>
      <w:hyperlink r:id="rId9" w:history="1">
        <w:r w:rsidRPr="000F2421">
          <w:rPr>
            <w:rFonts w:ascii="Garamond" w:hAnsi="Garamond" w:cs="Times New Roman"/>
            <w:color w:val="0000FF"/>
            <w:u w:val="single"/>
          </w:rPr>
          <w:t>United States v. Texas</w:t>
        </w:r>
      </w:hyperlink>
      <w:r w:rsidRPr="000F2421">
        <w:rPr>
          <w:rFonts w:ascii="Garamond" w:hAnsi="Garamond" w:cs="Times New Roman"/>
          <w:iCs/>
        </w:rPr>
        <w:t>.</w:t>
      </w:r>
    </w:p>
    <w:p w14:paraId="5B15BEE7" w14:textId="77777777" w:rsidR="000F2421" w:rsidRPr="000F2421" w:rsidRDefault="000F2421" w:rsidP="000F2421">
      <w:pPr>
        <w:spacing w:before="100" w:beforeAutospacing="1" w:after="100" w:afterAutospacing="1"/>
        <w:outlineLvl w:val="0"/>
        <w:rPr>
          <w:rFonts w:ascii="Garamond" w:hAnsi="Garamond" w:cs="Times New Roman"/>
          <w:iCs/>
        </w:rPr>
      </w:pPr>
    </w:p>
    <w:p w14:paraId="6C498459" w14:textId="77777777" w:rsidR="000F2421" w:rsidRPr="000F2421" w:rsidRDefault="000F2421" w:rsidP="000F2421">
      <w:pPr>
        <w:spacing w:before="100" w:beforeAutospacing="1" w:after="100" w:afterAutospacing="1"/>
        <w:outlineLvl w:val="0"/>
        <w:rPr>
          <w:rFonts w:ascii="Garamond" w:eastAsia="Times New Roman" w:hAnsi="Garamond" w:cs="Times New Roman"/>
          <w:bCs/>
          <w:kern w:val="36"/>
        </w:rPr>
      </w:pPr>
    </w:p>
    <w:sectPr w:rsidR="000F2421" w:rsidRPr="000F2421" w:rsidSect="005421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1ABC1" w14:textId="77777777" w:rsidR="00CD00F7" w:rsidRDefault="00CD00F7" w:rsidP="00DA5FDF">
      <w:r>
        <w:separator/>
      </w:r>
    </w:p>
  </w:endnote>
  <w:endnote w:type="continuationSeparator" w:id="0">
    <w:p w14:paraId="093580D6" w14:textId="77777777" w:rsidR="00CD00F7" w:rsidRDefault="00CD00F7" w:rsidP="00DA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14A6" w14:textId="471B878F" w:rsidR="006C07B1" w:rsidRPr="006C07B1" w:rsidRDefault="006C07B1">
    <w:pPr>
      <w:pStyle w:val="Footer"/>
      <w:rPr>
        <w:rFonts w:ascii="Garamond" w:hAnsi="Garamond"/>
      </w:rPr>
    </w:pPr>
    <w:r w:rsidRPr="006C07B1">
      <w:rPr>
        <w:rFonts w:ascii="Garamond" w:hAnsi="Garamond"/>
      </w:rPr>
      <w:t>© PIH Network,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CCAB8" w14:textId="77777777" w:rsidR="00CD00F7" w:rsidRDefault="00CD00F7" w:rsidP="00DA5FDF">
      <w:r>
        <w:separator/>
      </w:r>
    </w:p>
  </w:footnote>
  <w:footnote w:type="continuationSeparator" w:id="0">
    <w:p w14:paraId="30141F72" w14:textId="77777777" w:rsidR="00CD00F7" w:rsidRDefault="00CD00F7" w:rsidP="00DA5FDF">
      <w:r>
        <w:continuationSeparator/>
      </w:r>
    </w:p>
  </w:footnote>
  <w:footnote w:id="1">
    <w:p w14:paraId="38553F78" w14:textId="2D09DFB0" w:rsidR="004D7739" w:rsidRDefault="004D7739">
      <w:pPr>
        <w:pStyle w:val="FootnoteText"/>
      </w:pPr>
      <w:r>
        <w:rPr>
          <w:rStyle w:val="FootnoteReference"/>
        </w:rPr>
        <w:footnoteRef/>
      </w:r>
      <w:r>
        <w:t xml:space="preserve"> </w:t>
      </w:r>
      <w:r>
        <w:rPr>
          <w:rFonts w:ascii="Garamond" w:hAnsi="Garamond"/>
        </w:rPr>
        <w:t xml:space="preserve">freedom and responsibility </w:t>
      </w:r>
      <w:r w:rsidRPr="004D7739">
        <w:rPr>
          <w:rFonts w:ascii="Garamond" w:hAnsi="Garamond"/>
        </w:rPr>
        <w:t>to decide how to proceed</w:t>
      </w:r>
    </w:p>
  </w:footnote>
  <w:footnote w:id="2">
    <w:p w14:paraId="3A01FA19" w14:textId="77777777" w:rsidR="00DA5FDF" w:rsidRPr="00922BF5" w:rsidRDefault="00DA5FDF" w:rsidP="00DA5FDF">
      <w:pPr>
        <w:pStyle w:val="FootnoteText"/>
        <w:rPr>
          <w:rFonts w:ascii="Garamond" w:hAnsi="Garamond"/>
        </w:rPr>
      </w:pPr>
      <w:r>
        <w:rPr>
          <w:rStyle w:val="FootnoteReference"/>
        </w:rPr>
        <w:footnoteRef/>
      </w:r>
      <w:r>
        <w:t xml:space="preserve"> </w:t>
      </w:r>
      <w:r>
        <w:rPr>
          <w:rFonts w:ascii="Garamond" w:hAnsi="Garamond"/>
        </w:rPr>
        <w:t>delayed</w:t>
      </w:r>
    </w:p>
  </w:footnote>
  <w:footnote w:id="3">
    <w:p w14:paraId="78E47509" w14:textId="77777777" w:rsidR="00DA5FDF" w:rsidRPr="00922BF5" w:rsidRDefault="00DA5FDF" w:rsidP="00DA5FDF">
      <w:pPr>
        <w:pStyle w:val="FootnoteText"/>
        <w:rPr>
          <w:rFonts w:ascii="Garamond" w:hAnsi="Garamond"/>
        </w:rPr>
      </w:pPr>
      <w:r>
        <w:rPr>
          <w:rStyle w:val="FootnoteReference"/>
        </w:rPr>
        <w:footnoteRef/>
      </w:r>
      <w:r>
        <w:t xml:space="preserve"> </w:t>
      </w:r>
      <w:r>
        <w:rPr>
          <w:rFonts w:ascii="Garamond" w:hAnsi="Garamond"/>
        </w:rPr>
        <w:t>agreed to by members of both Democrats and Republicans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D6F65"/>
    <w:multiLevelType w:val="hybridMultilevel"/>
    <w:tmpl w:val="6E60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DF"/>
    <w:rsid w:val="00001AF6"/>
    <w:rsid w:val="00003C6A"/>
    <w:rsid w:val="000374D8"/>
    <w:rsid w:val="00042704"/>
    <w:rsid w:val="00066586"/>
    <w:rsid w:val="00091D2A"/>
    <w:rsid w:val="000C5B15"/>
    <w:rsid w:val="000F2421"/>
    <w:rsid w:val="001306D7"/>
    <w:rsid w:val="0017273E"/>
    <w:rsid w:val="00191856"/>
    <w:rsid w:val="00196280"/>
    <w:rsid w:val="001B5FF0"/>
    <w:rsid w:val="001E7B07"/>
    <w:rsid w:val="00242BE7"/>
    <w:rsid w:val="002625E8"/>
    <w:rsid w:val="002644AA"/>
    <w:rsid w:val="0027572B"/>
    <w:rsid w:val="002C04C6"/>
    <w:rsid w:val="002C348C"/>
    <w:rsid w:val="002E6213"/>
    <w:rsid w:val="003014E9"/>
    <w:rsid w:val="00390836"/>
    <w:rsid w:val="0039331D"/>
    <w:rsid w:val="0039361A"/>
    <w:rsid w:val="003963E3"/>
    <w:rsid w:val="003D71E4"/>
    <w:rsid w:val="003E2A15"/>
    <w:rsid w:val="003E46FD"/>
    <w:rsid w:val="004310DF"/>
    <w:rsid w:val="004726D9"/>
    <w:rsid w:val="0047407A"/>
    <w:rsid w:val="00481B9C"/>
    <w:rsid w:val="00483973"/>
    <w:rsid w:val="004C4A24"/>
    <w:rsid w:val="004D7739"/>
    <w:rsid w:val="004E390B"/>
    <w:rsid w:val="0051133B"/>
    <w:rsid w:val="00540A33"/>
    <w:rsid w:val="0054216D"/>
    <w:rsid w:val="005F45D9"/>
    <w:rsid w:val="00636829"/>
    <w:rsid w:val="00677FBA"/>
    <w:rsid w:val="00684618"/>
    <w:rsid w:val="006B0841"/>
    <w:rsid w:val="006C07B1"/>
    <w:rsid w:val="006D44B3"/>
    <w:rsid w:val="0072419C"/>
    <w:rsid w:val="00737001"/>
    <w:rsid w:val="007D4FD9"/>
    <w:rsid w:val="00807B01"/>
    <w:rsid w:val="00821725"/>
    <w:rsid w:val="0082631E"/>
    <w:rsid w:val="008626BF"/>
    <w:rsid w:val="008B0B90"/>
    <w:rsid w:val="008F07D6"/>
    <w:rsid w:val="00910822"/>
    <w:rsid w:val="00924FB4"/>
    <w:rsid w:val="0099014D"/>
    <w:rsid w:val="0099384D"/>
    <w:rsid w:val="009C60C5"/>
    <w:rsid w:val="009D193E"/>
    <w:rsid w:val="009D6AE0"/>
    <w:rsid w:val="009E2B08"/>
    <w:rsid w:val="009E2F88"/>
    <w:rsid w:val="009F637A"/>
    <w:rsid w:val="00A018DF"/>
    <w:rsid w:val="00A362BB"/>
    <w:rsid w:val="00A4496F"/>
    <w:rsid w:val="00A5323B"/>
    <w:rsid w:val="00A9210D"/>
    <w:rsid w:val="00AB0116"/>
    <w:rsid w:val="00AB4840"/>
    <w:rsid w:val="00AE2E7E"/>
    <w:rsid w:val="00B17817"/>
    <w:rsid w:val="00B200B6"/>
    <w:rsid w:val="00B40CD7"/>
    <w:rsid w:val="00B71B17"/>
    <w:rsid w:val="00B7548B"/>
    <w:rsid w:val="00B8102D"/>
    <w:rsid w:val="00B91BC7"/>
    <w:rsid w:val="00B953CB"/>
    <w:rsid w:val="00BC261F"/>
    <w:rsid w:val="00BF635F"/>
    <w:rsid w:val="00C036E6"/>
    <w:rsid w:val="00C36750"/>
    <w:rsid w:val="00C6679E"/>
    <w:rsid w:val="00CD00F7"/>
    <w:rsid w:val="00CE3FED"/>
    <w:rsid w:val="00D24B4E"/>
    <w:rsid w:val="00D65CA6"/>
    <w:rsid w:val="00D749F9"/>
    <w:rsid w:val="00DA5FDF"/>
    <w:rsid w:val="00E2374D"/>
    <w:rsid w:val="00E6344B"/>
    <w:rsid w:val="00E75369"/>
    <w:rsid w:val="00EA6C24"/>
    <w:rsid w:val="00EC6F71"/>
    <w:rsid w:val="00EE3BBA"/>
    <w:rsid w:val="00F436CB"/>
    <w:rsid w:val="00F8555F"/>
    <w:rsid w:val="00F9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BF7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5FDF"/>
    <w:rPr>
      <w:rFonts w:eastAsiaTheme="minorEastAsia"/>
      <w:lang w:eastAsia="ja-JP"/>
    </w:rPr>
  </w:style>
  <w:style w:type="character" w:customStyle="1" w:styleId="FootnoteTextChar">
    <w:name w:val="Footnote Text Char"/>
    <w:basedOn w:val="DefaultParagraphFont"/>
    <w:link w:val="FootnoteText"/>
    <w:uiPriority w:val="99"/>
    <w:rsid w:val="00DA5FDF"/>
    <w:rPr>
      <w:rFonts w:eastAsiaTheme="minorEastAsia"/>
      <w:lang w:eastAsia="ja-JP"/>
    </w:rPr>
  </w:style>
  <w:style w:type="character" w:styleId="FootnoteReference">
    <w:name w:val="footnote reference"/>
    <w:basedOn w:val="DefaultParagraphFont"/>
    <w:uiPriority w:val="99"/>
    <w:unhideWhenUsed/>
    <w:rsid w:val="00DA5FDF"/>
    <w:rPr>
      <w:vertAlign w:val="superscript"/>
    </w:rPr>
  </w:style>
  <w:style w:type="paragraph" w:styleId="ListParagraph">
    <w:name w:val="List Paragraph"/>
    <w:basedOn w:val="Normal"/>
    <w:uiPriority w:val="34"/>
    <w:qFormat/>
    <w:rsid w:val="000F2421"/>
    <w:pPr>
      <w:ind w:left="720"/>
      <w:contextualSpacing/>
    </w:pPr>
  </w:style>
  <w:style w:type="paragraph" w:styleId="Header">
    <w:name w:val="header"/>
    <w:basedOn w:val="Normal"/>
    <w:link w:val="HeaderChar"/>
    <w:uiPriority w:val="99"/>
    <w:unhideWhenUsed/>
    <w:rsid w:val="006C07B1"/>
    <w:pPr>
      <w:tabs>
        <w:tab w:val="center" w:pos="4680"/>
        <w:tab w:val="right" w:pos="9360"/>
      </w:tabs>
    </w:pPr>
  </w:style>
  <w:style w:type="character" w:customStyle="1" w:styleId="HeaderChar">
    <w:name w:val="Header Char"/>
    <w:basedOn w:val="DefaultParagraphFont"/>
    <w:link w:val="Header"/>
    <w:uiPriority w:val="99"/>
    <w:rsid w:val="006C07B1"/>
  </w:style>
  <w:style w:type="paragraph" w:styleId="Footer">
    <w:name w:val="footer"/>
    <w:basedOn w:val="Normal"/>
    <w:link w:val="FooterChar"/>
    <w:uiPriority w:val="99"/>
    <w:unhideWhenUsed/>
    <w:rsid w:val="006C07B1"/>
    <w:pPr>
      <w:tabs>
        <w:tab w:val="center" w:pos="4680"/>
        <w:tab w:val="right" w:pos="9360"/>
      </w:tabs>
    </w:pPr>
  </w:style>
  <w:style w:type="character" w:customStyle="1" w:styleId="FooterChar">
    <w:name w:val="Footer Char"/>
    <w:basedOn w:val="DefaultParagraphFont"/>
    <w:link w:val="Footer"/>
    <w:uiPriority w:val="99"/>
    <w:rsid w:val="006C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mericanimmigrationcouncil.org" TargetMode="External"/><Relationship Id="rId8" Type="http://schemas.openxmlformats.org/officeDocument/2006/relationships/hyperlink" Target="http://www.scotusblog.com/wp-content/uploads/2015/12/Texas-v-US-Cert-Amicus-FINAL.pdf" TargetMode="External"/><Relationship Id="rId9" Type="http://schemas.openxmlformats.org/officeDocument/2006/relationships/hyperlink" Target="http://www.scotusblog.com/case-files/cases/united-states-v-texas/?wpmp_switcher=deskto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819</Words>
  <Characters>4673</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Symposium: Back to immigration basics – Why the DAPA/DACA case is simpler than i</vt:lpstr>
      <vt:lpstr>Symposium: Why it’s time to unfreeze DAPA. Brianne Gorod is Chief Counsel at the</vt:lpstr>
      <vt:lpstr/>
      <vt:lpstr/>
    </vt:vector>
  </TitlesOfParts>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2017-03-09T15:09:00Z</dcterms:created>
  <dcterms:modified xsi:type="dcterms:W3CDTF">2017-04-13T20:55:00Z</dcterms:modified>
</cp:coreProperties>
</file>